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81A" w:rsidRPr="00002167" w:rsidRDefault="0051481A" w:rsidP="0051481A"/>
    <w:p w:rsidR="0051481A" w:rsidRPr="00002167" w:rsidRDefault="0051481A" w:rsidP="0051481A"/>
    <w:p w:rsidR="0051481A" w:rsidRPr="00002167" w:rsidRDefault="0051481A" w:rsidP="0051481A"/>
    <w:p w:rsidR="0051481A" w:rsidRPr="00002167" w:rsidRDefault="0051481A" w:rsidP="0051481A"/>
    <w:p w:rsidR="0051481A" w:rsidRPr="00002167" w:rsidRDefault="0051481A" w:rsidP="0051481A"/>
    <w:p w:rsidR="0051481A" w:rsidRPr="00002167" w:rsidRDefault="0051481A" w:rsidP="0051481A"/>
    <w:p w:rsidR="0051481A" w:rsidRPr="00002167" w:rsidRDefault="0051481A" w:rsidP="0051481A">
      <w:pPr>
        <w:pStyle w:val="ChapterNumber"/>
      </w:pPr>
      <w:r w:rsidRPr="00002167">
        <w:t xml:space="preserve">Chapter </w:t>
      </w:r>
    </w:p>
    <w:p w:rsidR="0051481A" w:rsidRPr="00002167" w:rsidRDefault="0051481A" w:rsidP="0051481A"/>
    <w:p w:rsidR="0051481A" w:rsidRPr="00002167" w:rsidRDefault="0051481A" w:rsidP="0051481A"/>
    <w:p w:rsidR="0064456F" w:rsidRPr="00002167" w:rsidRDefault="0064456F" w:rsidP="0051481A"/>
    <w:p w:rsidR="008F4FE6" w:rsidRPr="00002167" w:rsidRDefault="008F4FE6" w:rsidP="008F4FE6">
      <w:pPr>
        <w:pStyle w:val="Heading1"/>
      </w:pPr>
      <w:r w:rsidRPr="00002167">
        <w:t xml:space="preserve">EMS Pandemic Response in the </w:t>
      </w:r>
      <w:r w:rsidRPr="00002167">
        <w:br/>
        <w:t>United States</w:t>
      </w:r>
    </w:p>
    <w:p w:rsidR="008F4FE6" w:rsidRPr="00002167" w:rsidRDefault="008F4FE6" w:rsidP="008F4FE6"/>
    <w:p w:rsidR="008F4FE6" w:rsidRPr="00002167" w:rsidRDefault="008F4FE6" w:rsidP="008F4FE6"/>
    <w:p w:rsidR="008F4FE6" w:rsidRPr="00002167" w:rsidRDefault="008F4FE6" w:rsidP="00427964">
      <w:pPr>
        <w:pStyle w:val="FirstPageAuthor"/>
        <w:rPr>
          <w:vertAlign w:val="superscript"/>
        </w:rPr>
      </w:pPr>
      <w:r w:rsidRPr="00002167">
        <w:t>Matthew Barreto</w:t>
      </w:r>
      <w:r w:rsidRPr="00002167">
        <w:rPr>
          <w:vertAlign w:val="superscript"/>
        </w:rPr>
        <w:t>1,2</w:t>
      </w:r>
      <w:r w:rsidRPr="00002167">
        <w:t>, Amber W. Chan</w:t>
      </w:r>
      <w:r w:rsidRPr="00002167">
        <w:rPr>
          <w:vertAlign w:val="superscript"/>
        </w:rPr>
        <w:t>1</w:t>
      </w:r>
      <w:r w:rsidRPr="00002167">
        <w:t xml:space="preserve"> </w:t>
      </w:r>
      <w:r w:rsidR="00B12DB4">
        <w:br/>
      </w:r>
      <w:r w:rsidRPr="00002167">
        <w:t>and Christian A. Ventura</w:t>
      </w:r>
      <w:r w:rsidR="00427964" w:rsidRPr="00002167">
        <w:rPr>
          <w:rStyle w:val="FootnoteReference"/>
          <w:rFonts w:ascii="Helvetica" w:hAnsi="Helvetica"/>
          <w:sz w:val="28"/>
        </w:rPr>
        <w:footnoteReference w:customMarkFollows="1" w:id="1"/>
        <w:sym w:font="Symbol" w:char="F02A"/>
      </w:r>
    </w:p>
    <w:p w:rsidR="008F4FE6" w:rsidRPr="00002167" w:rsidRDefault="008F4FE6" w:rsidP="00DD075E">
      <w:pPr>
        <w:pStyle w:val="FirstPageAffiliation"/>
      </w:pPr>
      <w:r w:rsidRPr="00002167">
        <w:rPr>
          <w:vertAlign w:val="superscript"/>
        </w:rPr>
        <w:t>1</w:t>
      </w:r>
      <w:r w:rsidRPr="00002167">
        <w:t xml:space="preserve">EMS Pandemic Response Research Lab, </w:t>
      </w:r>
      <w:r w:rsidR="00B12DB4">
        <w:br/>
      </w:r>
      <w:r w:rsidRPr="00002167">
        <w:t>Lawrenceville, NJ, US</w:t>
      </w:r>
    </w:p>
    <w:p w:rsidR="008F4FE6" w:rsidRPr="00002167" w:rsidRDefault="008F4FE6" w:rsidP="00DD075E">
      <w:pPr>
        <w:pStyle w:val="FirstPageAffiliation"/>
      </w:pPr>
      <w:r w:rsidRPr="00002167">
        <w:rPr>
          <w:vertAlign w:val="superscript"/>
        </w:rPr>
        <w:t>2</w:t>
      </w:r>
      <w:r w:rsidRPr="00002167">
        <w:t>New York Institute of Technology College of Osteopathic Medicine, Old Westbury, NY, US</w:t>
      </w:r>
    </w:p>
    <w:p w:rsidR="008F4FE6" w:rsidRPr="00002167" w:rsidRDefault="008F4FE6" w:rsidP="00DD075E"/>
    <w:p w:rsidR="008F4FE6" w:rsidRPr="00002167" w:rsidRDefault="008F4FE6" w:rsidP="00DD075E"/>
    <w:p w:rsidR="008F4FE6" w:rsidRPr="00002167" w:rsidRDefault="008F4FE6" w:rsidP="00DD075E">
      <w:pPr>
        <w:pStyle w:val="Heading2"/>
      </w:pPr>
      <w:r w:rsidRPr="00002167">
        <w:t>Abstract</w:t>
      </w:r>
    </w:p>
    <w:p w:rsidR="008F4FE6" w:rsidRPr="00002167" w:rsidRDefault="008F4FE6" w:rsidP="00DD075E"/>
    <w:p w:rsidR="008F4FE6" w:rsidRPr="00002167" w:rsidRDefault="008F4FE6" w:rsidP="00DD075E">
      <w:pPr>
        <w:pStyle w:val="Abstract"/>
      </w:pPr>
      <w:r w:rsidRPr="00002167">
        <w:t>The novel Coronavirus disease of 2019 had an acutely catastrophic effect on almost every tier of emergency medical services in the United States. The Pro Bono EMS Pandemic Response Research Lab led the national effort into the investigation of prehospital pandemic response in the US mainland, interrogating key systemic issues, infectious disease best practices, and provider safety. This chapter</w:t>
      </w:r>
      <w:r w:rsidR="008E0A72">
        <w:t xml:space="preserve"> </w:t>
      </w:r>
      <w:r w:rsidRPr="00002167">
        <w:t>— led by Adj. Prof. Christian Ventura, the Co-Principal Investigator of the lab and adjunct lecturer in prehospital resuscitation science and colleagues</w:t>
      </w:r>
      <w:r w:rsidR="008E0A72">
        <w:t xml:space="preserve"> </w:t>
      </w:r>
      <w:r w:rsidRPr="00002167">
        <w:t xml:space="preserve">— serves as a retrospective analysis into how EMS responded to </w:t>
      </w:r>
      <w:r w:rsidRPr="00002167">
        <w:lastRenderedPageBreak/>
        <w:t xml:space="preserve">the global pandemic in the critical year of 2020, what we did right, what we can learn, and implications for the urgently warranted paradigm shifts EMS must consider adopting to prevent infrastructural collapse. </w:t>
      </w:r>
    </w:p>
    <w:p w:rsidR="008F4FE6" w:rsidRPr="00002167" w:rsidRDefault="008F4FE6" w:rsidP="00DD075E"/>
    <w:p w:rsidR="008F4FE6" w:rsidRPr="00002167" w:rsidRDefault="008F4FE6" w:rsidP="00DD075E">
      <w:pPr>
        <w:ind w:left="360" w:hanging="360"/>
      </w:pPr>
      <w:r w:rsidRPr="00002167">
        <w:rPr>
          <w:b/>
        </w:rPr>
        <w:t>Keywords</w:t>
      </w:r>
      <w:r w:rsidRPr="00002167">
        <w:t>: COVID-19, pandemic response</w:t>
      </w:r>
    </w:p>
    <w:p w:rsidR="008F4FE6" w:rsidRPr="00002167" w:rsidRDefault="008F4FE6" w:rsidP="00DD075E"/>
    <w:p w:rsidR="00DD075E" w:rsidRPr="00002167" w:rsidRDefault="00DD075E" w:rsidP="00DD075E"/>
    <w:p w:rsidR="008F4FE6" w:rsidRPr="00002167" w:rsidRDefault="008F4FE6" w:rsidP="00DD075E">
      <w:pPr>
        <w:pStyle w:val="Heading2"/>
        <w:rPr>
          <w:sz w:val="24"/>
          <w:szCs w:val="24"/>
        </w:rPr>
      </w:pPr>
      <w:r w:rsidRPr="00002167">
        <w:t>Introduction</w:t>
      </w:r>
    </w:p>
    <w:p w:rsidR="008F4FE6" w:rsidRPr="00002167" w:rsidRDefault="008F4FE6" w:rsidP="00DD075E">
      <w:pPr>
        <w:rPr>
          <w:szCs w:val="21"/>
        </w:rPr>
      </w:pPr>
    </w:p>
    <w:p w:rsidR="008F4FE6" w:rsidRPr="00002167" w:rsidRDefault="008F4FE6" w:rsidP="00DD075E">
      <w:pPr>
        <w:rPr>
          <w:szCs w:val="21"/>
        </w:rPr>
      </w:pPr>
      <w:r w:rsidRPr="00002167">
        <w:rPr>
          <w:szCs w:val="21"/>
        </w:rPr>
        <w:t xml:space="preserve">The prominence of Emergency Medical Services (EMS) in pandemic response is a compelling public health issue with critical implications for global infection control, continued education of healthcare providers, and community awareness. The role of EMS in the United States pandemic response model is not rigorously studied, and recent literature suggests stringent evaluation of EMS may be beneficial to national public health, especially during the era of the novel coronavirus (COVID-19) pandemic. As of 15-April-2021, SARS-CoV-2 has been responsible for approximately 31.1 million cases of infection with 560,000 deaths in the United States [1]. Investigation into current infection control methods employed by EMS agencies and used by providers is of increasing salience, due to the unprecedented severity of the COVID-19 pandemic. This study aimed to closely analyse available relevant literature, and discuss implications of twenty-first century EMS preparedness and response in the United States. Additionally, the present study examines the impact of telemedicine utilization in EMS encounters, as well as the contribution of EMS systemic factors to the noticeable rise in stroke-related mortality observed during the period of the COVID-19 pandemic. </w:t>
      </w:r>
    </w:p>
    <w:p w:rsidR="008F4FE6" w:rsidRPr="00002167" w:rsidRDefault="008F4FE6" w:rsidP="00DD075E">
      <w:pPr>
        <w:rPr>
          <w:szCs w:val="21"/>
        </w:rPr>
      </w:pPr>
    </w:p>
    <w:p w:rsidR="00DD075E" w:rsidRPr="00002167" w:rsidRDefault="00DD075E" w:rsidP="00DD075E">
      <w:pPr>
        <w:rPr>
          <w:szCs w:val="21"/>
        </w:rPr>
      </w:pPr>
    </w:p>
    <w:p w:rsidR="008F4FE6" w:rsidRPr="00002167" w:rsidRDefault="008F4FE6" w:rsidP="008F4FE6">
      <w:pPr>
        <w:keepNext/>
        <w:spacing w:line="240" w:lineRule="auto"/>
        <w:ind w:firstLine="0"/>
        <w:jc w:val="center"/>
        <w:rPr>
          <w:b/>
          <w:sz w:val="24"/>
          <w:szCs w:val="24"/>
        </w:rPr>
      </w:pPr>
      <w:r w:rsidRPr="00002167">
        <w:rPr>
          <w:b/>
          <w:smallCaps/>
          <w:sz w:val="28"/>
          <w:szCs w:val="28"/>
        </w:rPr>
        <w:t>Methods</w:t>
      </w:r>
    </w:p>
    <w:p w:rsidR="008F4FE6" w:rsidRPr="00002167" w:rsidRDefault="008F4FE6" w:rsidP="008F4FE6"/>
    <w:p w:rsidR="008F4FE6" w:rsidRPr="00002167" w:rsidRDefault="008F4FE6" w:rsidP="00D13204">
      <w:pPr>
        <w:pStyle w:val="Heading3"/>
      </w:pPr>
      <w:r w:rsidRPr="00002167">
        <w:t>Methodical Quality</w:t>
      </w:r>
    </w:p>
    <w:p w:rsidR="00DD075E" w:rsidRPr="00002167" w:rsidRDefault="00DD075E" w:rsidP="00D13204"/>
    <w:p w:rsidR="008F4FE6" w:rsidRPr="00002167" w:rsidRDefault="008F4FE6" w:rsidP="00D13204">
      <w:pPr>
        <w:rPr>
          <w:highlight w:val="white"/>
        </w:rPr>
      </w:pPr>
      <w:r w:rsidRPr="00002167">
        <w:t xml:space="preserve">Although this study was not a meta-analysis or systematic review, standard systematic review methods were used to ensure </w:t>
      </w:r>
      <w:r w:rsidRPr="00002167">
        <w:lastRenderedPageBreak/>
        <w:t>methodological quality and quality of data analysis. The study remained consistent with PRISMA statement recommendations [2]. PROSPERO registration was not considered as the study was not a full meta-analysis systematic review. The Institute of Health Economics (IHE) Quality Appraisal of Case Series Studies Checklist was used to assess the quality of the methodological approach [3].</w:t>
      </w:r>
    </w:p>
    <w:p w:rsidR="008F4FE6" w:rsidRPr="00002167" w:rsidRDefault="008F4FE6" w:rsidP="00D13204">
      <w:pPr>
        <w:rPr>
          <w:highlight w:val="white"/>
        </w:rPr>
      </w:pPr>
    </w:p>
    <w:p w:rsidR="00D13204" w:rsidRPr="00002167" w:rsidRDefault="00D13204" w:rsidP="00D13204">
      <w:pPr>
        <w:rPr>
          <w:highlight w:val="white"/>
        </w:rPr>
      </w:pPr>
    </w:p>
    <w:p w:rsidR="008F4FE6" w:rsidRPr="00002167" w:rsidRDefault="008F4FE6" w:rsidP="00D13204">
      <w:pPr>
        <w:pStyle w:val="Heading3"/>
        <w:rPr>
          <w:highlight w:val="white"/>
        </w:rPr>
      </w:pPr>
      <w:r w:rsidRPr="00002167">
        <w:rPr>
          <w:highlight w:val="white"/>
        </w:rPr>
        <w:t>Recruitment Strategy</w:t>
      </w:r>
    </w:p>
    <w:p w:rsidR="00D13204" w:rsidRPr="00002167" w:rsidRDefault="00D13204" w:rsidP="00D13204">
      <w:pPr>
        <w:rPr>
          <w:highlight w:val="white"/>
        </w:rPr>
      </w:pPr>
    </w:p>
    <w:p w:rsidR="008F4FE6" w:rsidRPr="00002167" w:rsidRDefault="008F4FE6" w:rsidP="00D13204">
      <w:pPr>
        <w:rPr>
          <w:highlight w:val="white"/>
        </w:rPr>
      </w:pPr>
      <w:r w:rsidRPr="00002167">
        <w:rPr>
          <w:highlight w:val="white"/>
        </w:rPr>
        <w:t>A search of the National Center for Biotechnology Information was performed using the search string</w:t>
      </w:r>
      <w:r w:rsidR="00002167">
        <w:rPr>
          <w:highlight w:val="white"/>
        </w:rPr>
        <w:t xml:space="preserve"> </w:t>
      </w:r>
      <w:r w:rsidRPr="00002167">
        <w:t>“EMERGENCY MEDICAL SERVICES; INFECTION; PANDEMIC”</w:t>
      </w:r>
      <w:r w:rsidRPr="00002167">
        <w:rPr>
          <w:highlight w:val="white"/>
        </w:rPr>
        <w:t xml:space="preserve"> on 12-April-2021 and the resulting articles were identified. The repository resulted in 2,158 items. The investigators independently reviewed abstracts to identify articles eligible for a full-text review. These investigators then independently reviewed full-text articles to determine studies that were eligible for inclusion based upon established criteria. </w:t>
      </w:r>
    </w:p>
    <w:p w:rsidR="008F4FE6" w:rsidRPr="00002167" w:rsidRDefault="008F4FE6" w:rsidP="00D13204">
      <w:pPr>
        <w:rPr>
          <w:highlight w:val="white"/>
        </w:rPr>
      </w:pPr>
    </w:p>
    <w:p w:rsidR="00D13204" w:rsidRPr="00002167" w:rsidRDefault="00D13204" w:rsidP="00D13204">
      <w:pPr>
        <w:rPr>
          <w:highlight w:val="white"/>
        </w:rPr>
      </w:pPr>
    </w:p>
    <w:p w:rsidR="008F4FE6" w:rsidRPr="00002167" w:rsidRDefault="008F4FE6" w:rsidP="00D13204">
      <w:pPr>
        <w:pStyle w:val="Heading3"/>
        <w:rPr>
          <w:highlight w:val="white"/>
        </w:rPr>
      </w:pPr>
      <w:r w:rsidRPr="00002167">
        <w:rPr>
          <w:highlight w:val="white"/>
        </w:rPr>
        <w:t>Risk of Bias Reduction</w:t>
      </w:r>
    </w:p>
    <w:p w:rsidR="00D13204" w:rsidRPr="00002167" w:rsidRDefault="00D13204" w:rsidP="00D13204"/>
    <w:p w:rsidR="008F4FE6" w:rsidRPr="00002167" w:rsidRDefault="008F4FE6" w:rsidP="00D13204">
      <w:r w:rsidRPr="00002167">
        <w:t>A 95% confidence interval was used to standardize prevalence and pooling of data, and a funnel plot was created to analyze the presence of any publication bias using the Egger’s test [4].</w:t>
      </w:r>
    </w:p>
    <w:p w:rsidR="008F4FE6" w:rsidRPr="00002167" w:rsidRDefault="008F4FE6" w:rsidP="00D13204"/>
    <w:p w:rsidR="00D13204" w:rsidRPr="00002167" w:rsidRDefault="00D13204" w:rsidP="00D13204"/>
    <w:p w:rsidR="008F4FE6" w:rsidRPr="00002167" w:rsidRDefault="008F4FE6" w:rsidP="00D13204">
      <w:pPr>
        <w:pStyle w:val="Heading3"/>
      </w:pPr>
      <w:r w:rsidRPr="00002167">
        <w:t>Institutional Ethics Reviewal</w:t>
      </w:r>
    </w:p>
    <w:p w:rsidR="00D13204" w:rsidRPr="00002167" w:rsidRDefault="00D13204" w:rsidP="00D13204"/>
    <w:p w:rsidR="008F4FE6" w:rsidRPr="00002167" w:rsidRDefault="008F4FE6" w:rsidP="00D13204">
      <w:pPr>
        <w:rPr>
          <w:highlight w:val="white"/>
        </w:rPr>
      </w:pPr>
      <w:r w:rsidRPr="00002167">
        <w:t>An ethics approval was not considered, because this study does not involve laboratory animals or human test subjects, invasive procedures, or a prospective evaluation.</w:t>
      </w:r>
    </w:p>
    <w:p w:rsidR="00B12DB4" w:rsidRDefault="00B12DB4" w:rsidP="00D13204"/>
    <w:p w:rsidR="00B12DB4" w:rsidRDefault="00B12DB4" w:rsidP="00D13204"/>
    <w:p w:rsidR="00B12DB4" w:rsidRDefault="00B12DB4" w:rsidP="00D13204"/>
    <w:p w:rsidR="00B12DB4" w:rsidRDefault="00B12DB4" w:rsidP="00D13204"/>
    <w:p w:rsidR="00B12DB4" w:rsidRDefault="00B12DB4" w:rsidP="00D13204"/>
    <w:p w:rsidR="008F4FE6" w:rsidRPr="00002167" w:rsidRDefault="008F4FE6" w:rsidP="00D13204">
      <w:pPr>
        <w:pStyle w:val="Heading2"/>
        <w:rPr>
          <w:sz w:val="24"/>
          <w:szCs w:val="24"/>
        </w:rPr>
      </w:pPr>
      <w:r w:rsidRPr="00002167">
        <w:lastRenderedPageBreak/>
        <w:t>Results</w:t>
      </w:r>
    </w:p>
    <w:p w:rsidR="008F4FE6" w:rsidRPr="00002167" w:rsidRDefault="008F4FE6" w:rsidP="00002167">
      <w:pPr>
        <w:rPr>
          <w:szCs w:val="21"/>
        </w:rPr>
      </w:pPr>
    </w:p>
    <w:p w:rsidR="008F4FE6" w:rsidRPr="00002167" w:rsidRDefault="008F4FE6" w:rsidP="00002167">
      <w:pPr>
        <w:rPr>
          <w:szCs w:val="21"/>
        </w:rPr>
      </w:pPr>
      <w:r w:rsidRPr="00002167">
        <w:rPr>
          <w:szCs w:val="21"/>
        </w:rPr>
        <w:t>The NCBI repository returned 2,158 items, 37 of which were selected for analysis and inclusion in the study, based upon determined eligibility criteria.</w:t>
      </w:r>
    </w:p>
    <w:p w:rsidR="008F4FE6" w:rsidRPr="00002167" w:rsidRDefault="008F4FE6" w:rsidP="00002167">
      <w:pPr>
        <w:rPr>
          <w:szCs w:val="21"/>
        </w:rPr>
      </w:pPr>
    </w:p>
    <w:p w:rsidR="00D13204" w:rsidRPr="00002167" w:rsidRDefault="00D13204" w:rsidP="00002167">
      <w:pPr>
        <w:rPr>
          <w:szCs w:val="21"/>
        </w:rPr>
      </w:pPr>
    </w:p>
    <w:p w:rsidR="008F4FE6" w:rsidRPr="00002167" w:rsidRDefault="008F4FE6" w:rsidP="00D13204">
      <w:pPr>
        <w:pStyle w:val="Heading2"/>
      </w:pPr>
      <w:r w:rsidRPr="00002167">
        <w:t>Discussion</w:t>
      </w:r>
    </w:p>
    <w:p w:rsidR="008F4FE6" w:rsidRPr="00002167" w:rsidRDefault="008F4FE6" w:rsidP="00D13204"/>
    <w:p w:rsidR="008F4FE6" w:rsidRPr="00002167" w:rsidRDefault="008F4FE6" w:rsidP="00D13204">
      <w:pPr>
        <w:pStyle w:val="Heading3"/>
      </w:pPr>
      <w:r w:rsidRPr="00002167">
        <w:t>Decontamination Practices</w:t>
      </w:r>
    </w:p>
    <w:p w:rsidR="00D13204" w:rsidRPr="00002167" w:rsidRDefault="00D13204" w:rsidP="00D13204"/>
    <w:p w:rsidR="008F4FE6" w:rsidRPr="00002167" w:rsidRDefault="008F4FE6" w:rsidP="00D13204">
      <w:r w:rsidRPr="00002167">
        <w:t xml:space="preserve">Decontamination practices of EMS equipment that are consistent with standards models of infection control are key to the prevention of the spread of pathogens and infectious diseases between patients and personnel. Current decontamination practices and protocols in the United States do not follow a national standard, but rather vary per each specific agency or local protocol. The most common types of disinfectants used in EMS agencies across include commercial industrial disinfectants and bleach, making up 45% and 47% of products used, respectively [5]. </w:t>
      </w:r>
    </w:p>
    <w:p w:rsidR="008F4FE6" w:rsidRPr="00002167" w:rsidRDefault="00D13204" w:rsidP="00D13204">
      <w:r w:rsidRPr="00002167">
        <w:t>Ventura et</w:t>
      </w:r>
      <w:r w:rsidR="008F4FE6" w:rsidRPr="00002167">
        <w:t xml:space="preserve"> al</w:t>
      </w:r>
      <w:r w:rsidRPr="00002167">
        <w:t>.</w:t>
      </w:r>
      <w:r w:rsidR="008F4FE6" w:rsidRPr="00002167">
        <w:t xml:space="preserve"> found that decontamination of stethoscopes after each patient contact was not a regular practice. Additionally, a 2000 study showed that stethoscopes are ideal fomites for carrying pathogens, but responded well to treatment of isopropyl alcohol which significantly reduced the amount of pathogens present [6].</w:t>
      </w:r>
      <w:r w:rsidR="00002167">
        <w:t xml:space="preserve"> </w:t>
      </w:r>
      <w:r w:rsidR="008F4FE6" w:rsidRPr="00002167">
        <w:t>Within the patient compartment, Gibson located samples of Methicillin-resistant Staphylococcus aureus (MRSA) on the rear floor area, rear door handles, and oxygen cylinders, implying an increased presence of various pathogens in these areas [7].</w:t>
      </w:r>
    </w:p>
    <w:p w:rsidR="008F4FE6" w:rsidRPr="00002167" w:rsidRDefault="008F4FE6" w:rsidP="00D13204">
      <w:r w:rsidRPr="00002167">
        <w:t xml:space="preserve">There is evidence to suggest that many municipal and private EMS agencies of highly populous cities do not follow currently accepted hygiene standards, as many providers fail to use soap and water or commercial disinfectants or alcohols for items that come in contact to mucus membranes [8]. It has also been increasingly evident that ultraviolet germicidal irradiation may be a more effective method of reduction of microbial surface contamination, especially when paired </w:t>
      </w:r>
      <w:r w:rsidRPr="00002167">
        <w:lastRenderedPageBreak/>
        <w:t>with optimal positioning of the fixture and labor to increase the reflectivity of interior ambulance surfaces [9].</w:t>
      </w:r>
    </w:p>
    <w:p w:rsidR="008F4FE6" w:rsidRPr="00002167" w:rsidRDefault="008F4FE6" w:rsidP="005533B9">
      <w:r w:rsidRPr="00002167">
        <w:t>EMS personnel, as healthcare providers, play an integral role in preventing and containing the spread of healthcare associated infections (HAIs) during their occupational operations. Unlike in-hospital settings, the bacterial, fungal, and viral microbiome of the pre-hospital setting (i.e.</w:t>
      </w:r>
      <w:r w:rsidR="00D13204" w:rsidRPr="00002167">
        <w:t>,</w:t>
      </w:r>
      <w:r w:rsidRPr="00002167">
        <w:t xml:space="preserve"> ambulances) is not rigorously studied [10]. Although bloodborne pathogens certification is often a requirement for employment, little training or continuing education is provided for the containment of aerosolized pathogens. Additionally, availability of respiratory-related personal protective equipment (PPE) is decreasing as demand exceeds available supply [11]</w:t>
      </w:r>
      <w:r w:rsidR="00D13204" w:rsidRPr="00002167">
        <w:t xml:space="preserve">. Lindsley et </w:t>
      </w:r>
      <w:r w:rsidRPr="00002167">
        <w:t>al</w:t>
      </w:r>
      <w:r w:rsidR="00D13204" w:rsidRPr="00002167">
        <w:t>.</w:t>
      </w:r>
      <w:r w:rsidRPr="00002167">
        <w:t xml:space="preserve"> examined the efficacy of an ambulance ventilation system using a patient cough aerosol simulator, and found that risk of airborne particle exposure was reduced, but not eliminated [12]. Further investigation into novel methods to reduce EMS provider exposure to aerosolized particles is warranted.</w:t>
      </w:r>
    </w:p>
    <w:p w:rsidR="008F4FE6" w:rsidRPr="00002167" w:rsidRDefault="008F4FE6" w:rsidP="005533B9"/>
    <w:p w:rsidR="00D13204" w:rsidRPr="00002167" w:rsidRDefault="00D13204" w:rsidP="005533B9"/>
    <w:p w:rsidR="008F4FE6" w:rsidRPr="00002167" w:rsidRDefault="008F4FE6" w:rsidP="005533B9">
      <w:pPr>
        <w:pStyle w:val="Heading3"/>
      </w:pPr>
      <w:r w:rsidRPr="00002167">
        <w:t>Outbreak Preparation Model</w:t>
      </w:r>
    </w:p>
    <w:p w:rsidR="00D13204" w:rsidRPr="00002167" w:rsidRDefault="00D13204" w:rsidP="005533B9"/>
    <w:p w:rsidR="008F4FE6" w:rsidRPr="00002167" w:rsidRDefault="008F4FE6" w:rsidP="005533B9">
      <w:pPr>
        <w:rPr>
          <w:szCs w:val="21"/>
        </w:rPr>
      </w:pPr>
      <w:r w:rsidRPr="00002167">
        <w:rPr>
          <w:szCs w:val="21"/>
        </w:rPr>
        <w:t>The EMS system is a critical constituent to the overall infrastructure of pandemic response in the United States and requires careful consideration of its framework and involvement with other organizations, authorities, and systems. It has become evident, however, that minimal pandemic preparedness exists for U.S. EMS agencies, observed as recently as the 2008 influenza pandemic [13]. EMS may also not be adequately prepared to respond to a pediatric infectious disease surge, due to limitations within four domains: i. structure; ii. staff; iii. resources; and iv. space [14]. There is evidence to suggest that sole reliance on education and training are insufficient in preparing prehospital providers to r</w:t>
      </w:r>
      <w:r w:rsidR="00B12DB4">
        <w:rPr>
          <w:szCs w:val="21"/>
        </w:rPr>
        <w:t xml:space="preserve">espond to pandemics. Tippet et </w:t>
      </w:r>
      <w:r w:rsidRPr="00002167">
        <w:rPr>
          <w:szCs w:val="21"/>
        </w:rPr>
        <w:t>al</w:t>
      </w:r>
      <w:r w:rsidR="00B12DB4">
        <w:rPr>
          <w:szCs w:val="21"/>
        </w:rPr>
        <w:t>.</w:t>
      </w:r>
      <w:r w:rsidRPr="00002167">
        <w:rPr>
          <w:szCs w:val="21"/>
        </w:rPr>
        <w:t xml:space="preserve"> recommends addressing concerns and perceived concerns of EMS personnel to increase response efficacy in pandemic conditions</w:t>
      </w:r>
      <w:r w:rsidR="00002167">
        <w:rPr>
          <w:szCs w:val="21"/>
        </w:rPr>
        <w:t xml:space="preserve"> </w:t>
      </w:r>
      <w:r w:rsidRPr="00002167">
        <w:rPr>
          <w:szCs w:val="21"/>
        </w:rPr>
        <w:t>[15].</w:t>
      </w:r>
    </w:p>
    <w:p w:rsidR="008F4FE6" w:rsidRPr="00002167" w:rsidRDefault="008F4FE6" w:rsidP="005533B9">
      <w:pPr>
        <w:rPr>
          <w:szCs w:val="21"/>
        </w:rPr>
      </w:pPr>
      <w:r w:rsidRPr="00002167">
        <w:rPr>
          <w:szCs w:val="21"/>
        </w:rPr>
        <w:t xml:space="preserve">EMS providers are likely at high risk due to the lack of disease-specific triage-management protocols during pandemics. These risks include: i. needless exposure; ii. loss of functional capacity; and iii. </w:t>
      </w:r>
      <w:r w:rsidRPr="00002167">
        <w:rPr>
          <w:szCs w:val="21"/>
        </w:rPr>
        <w:lastRenderedPageBreak/>
        <w:t>inappropriately triaged patients [16]. The lack of a cohesive outbreak response model and specific protocols for each aspect of EMS pandemic response demands for more effective optimization and utilization of EMS resources, especially for providers often at the first patient points of contact.</w:t>
      </w:r>
    </w:p>
    <w:p w:rsidR="008F4FE6" w:rsidRPr="00002167" w:rsidRDefault="008F4FE6" w:rsidP="005533B9">
      <w:pPr>
        <w:rPr>
          <w:szCs w:val="21"/>
        </w:rPr>
      </w:pPr>
    </w:p>
    <w:p w:rsidR="005533B9" w:rsidRPr="00002167" w:rsidRDefault="005533B9" w:rsidP="005533B9">
      <w:pPr>
        <w:rPr>
          <w:szCs w:val="21"/>
        </w:rPr>
      </w:pPr>
    </w:p>
    <w:p w:rsidR="008F4FE6" w:rsidRPr="00002167" w:rsidRDefault="008F4FE6" w:rsidP="005533B9">
      <w:pPr>
        <w:pStyle w:val="Heading3"/>
      </w:pPr>
      <w:r w:rsidRPr="00002167">
        <w:t>Response Motivation</w:t>
      </w:r>
    </w:p>
    <w:p w:rsidR="005533B9" w:rsidRPr="00002167" w:rsidRDefault="005533B9" w:rsidP="005533B9"/>
    <w:p w:rsidR="008F4FE6" w:rsidRPr="00002167" w:rsidRDefault="008F4FE6" w:rsidP="005533B9">
      <w:r w:rsidRPr="00002167">
        <w:t>Willingness of first responders and healthcare workers to respond to a pandemic may not be ideal. In a study done regarding the previous Influenza pandemic, 12% of respondents stated they would not work if asked to and 7% would not work if it was required. A significant portion of respondents also stated that they would not work if there was a risk that the disease could be transmitted to family [17].</w:t>
      </w:r>
    </w:p>
    <w:p w:rsidR="008F4FE6" w:rsidRPr="00002167" w:rsidRDefault="008F4FE6" w:rsidP="005533B9">
      <w:r w:rsidRPr="00002167">
        <w:t>In another study evaluating the same pandemic, it was found that several factors could be influential in willingness to work, such as sex, position, employment type, training and education, availability of personal protective equipment, and trust in one’s employer [18]. In contrast, state-level emergency preparedness laws did not have a significant impact on willingness of healthcare providers to respond. It is also hypothesized that the perceived and objective legal environments for healthcare workers may not be aligned [19]. Additional training in pandemic response has also been seen to increase the rates of compliance and willingness to respond in EMS professionals [20].</w:t>
      </w:r>
      <w:r w:rsidR="00002167">
        <w:t xml:space="preserve"> </w:t>
      </w:r>
    </w:p>
    <w:p w:rsidR="008F4FE6" w:rsidRPr="00002167" w:rsidRDefault="008F4FE6" w:rsidP="005533B9">
      <w:r w:rsidRPr="00002167">
        <w:t>Undoubtedly, mental health of First Responders is a compelling concern, especially in pandemic conditions. Pandemic conditions are known to exacerbate predisposed comorbidities including depression, post-traumatic stress disorder, and addiction [21]. The mental health of healthcare workers could also be negatively affected by moral injury. Increased monitoring of healthcare workers and focused group debriefings among other implementations of support systems may be beneficial in supporting the mental health of EMS personnel during and post-pandemic [22].</w:t>
      </w:r>
    </w:p>
    <w:p w:rsidR="008F4FE6" w:rsidRPr="00002167" w:rsidRDefault="008F4FE6" w:rsidP="005533B9"/>
    <w:p w:rsidR="005533B9" w:rsidRDefault="005533B9" w:rsidP="005533B9"/>
    <w:p w:rsidR="008F4FE6" w:rsidRPr="00002167" w:rsidRDefault="008F4FE6" w:rsidP="005533B9">
      <w:pPr>
        <w:pStyle w:val="Heading3"/>
      </w:pPr>
      <w:r w:rsidRPr="00002167">
        <w:lastRenderedPageBreak/>
        <w:t>COVID-19 Implications</w:t>
      </w:r>
    </w:p>
    <w:p w:rsidR="005533B9" w:rsidRPr="00002167" w:rsidRDefault="005533B9" w:rsidP="005533B9"/>
    <w:p w:rsidR="008F4FE6" w:rsidRPr="00002167" w:rsidRDefault="008F4FE6" w:rsidP="005533B9">
      <w:r w:rsidRPr="00002167">
        <w:t>The current national guideline for EMS response to the COVID-19 pandemic as of 15-April-2021 is the Centers for Disease Control and Prevention’s Interim Recommendations for Emergency Medical Services (EMS) Systems and 911 Public Safety Answering Points/Emergency Communication Centers (PSAP/ECCs) in the United States, last updated 15-July-2020 [23]. Recent literature has encouraged further investigation into EMS response to COVID-19, specifically examining whether current EMS practices are contributing to the spread of infection [5].</w:t>
      </w:r>
    </w:p>
    <w:p w:rsidR="008F4FE6" w:rsidRPr="00002167" w:rsidRDefault="008F4FE6" w:rsidP="005533B9">
      <w:r w:rsidRPr="00002167">
        <w:t>In Europe, EMS systems have reportedly been overly stressed and severe working conditions put providers at great risk for transmission and contagion of the virus [24]. As the U.S. continues to exponentially exceed the quantity of COVID-19 cases within European countries, U.S. EMS systems are likely experiencing comparable overload. Additionally, there is much evidence that reveals concerning deficits</w:t>
      </w:r>
      <w:r w:rsidR="00002167">
        <w:t xml:space="preserve"> </w:t>
      </w:r>
      <w:r w:rsidRPr="00002167">
        <w:t>within COVID-19 education mandated for EMS providers by their administrations (i.e.</w:t>
      </w:r>
      <w:r w:rsidR="005533B9" w:rsidRPr="00002167">
        <w:t>,</w:t>
      </w:r>
      <w:r w:rsidRPr="00002167">
        <w:t xml:space="preserve"> disease symptomatology presentation). This finding is self-reported through a survey of EMS personnel in all 50 U.S. states including the District of Columbia [5]</w:t>
      </w:r>
      <w:r w:rsidR="005533B9" w:rsidRPr="00002167">
        <w:t>. Watt et</w:t>
      </w:r>
      <w:r w:rsidRPr="00002167">
        <w:t xml:space="preserve"> al</w:t>
      </w:r>
      <w:r w:rsidR="005533B9" w:rsidRPr="00002167">
        <w:t>.</w:t>
      </w:r>
      <w:r w:rsidRPr="00002167">
        <w:t xml:space="preserve"> recommends that EMS organizations address gaps involving infection, transmission, and decontamination procedures in pandemic conditions [25].</w:t>
      </w:r>
    </w:p>
    <w:p w:rsidR="008F4FE6" w:rsidRPr="00002167" w:rsidRDefault="008F4FE6" w:rsidP="005533B9">
      <w:r w:rsidRPr="00002167">
        <w:t>The transport of COVID-19 patients via helicopter and fixed wing air ambulance has been studied in Switzerland, and options for aeromedical transport of infectious patients are plentiful. However, it is worthy to consider how much this level of transport would cost for patients in the U.S. healthcare model.</w:t>
      </w:r>
      <w:r w:rsidR="00002167">
        <w:t xml:space="preserve"> </w:t>
      </w:r>
      <w:r w:rsidRPr="00002167">
        <w:t>There are currently no recommendations for aeromedical transport of COVID-19 patients in the United States [26].</w:t>
      </w:r>
    </w:p>
    <w:p w:rsidR="008F4FE6" w:rsidRPr="00002167" w:rsidRDefault="008F4FE6" w:rsidP="005533B9">
      <w:r w:rsidRPr="00002167">
        <w:t xml:space="preserve">Viral load also poses a critical risk to EMS providers, as increased exposure has historically correlated with severe disease presentation [27]. Resource allocation to support PPE shortages may reduce this risk. Programmatic strategies and changes to EMS operations to identify high-risk patients, limit exposure, and conserve PPE, as </w:t>
      </w:r>
      <w:r w:rsidRPr="00002167">
        <w:lastRenderedPageBreak/>
        <w:t>studied by Murphy et al</w:t>
      </w:r>
      <w:r w:rsidR="005533B9" w:rsidRPr="00002167">
        <w:t>.</w:t>
      </w:r>
      <w:r w:rsidRPr="00002167">
        <w:t xml:space="preserve"> have been associated with reduced exposure and PPE use [28].</w:t>
      </w:r>
    </w:p>
    <w:p w:rsidR="008F4FE6" w:rsidRPr="00002167" w:rsidRDefault="008F4FE6" w:rsidP="005533B9">
      <w:r w:rsidRPr="00002167">
        <w:t xml:space="preserve">The U.S. EMS pandemic response model is severely lacking in the domains of: i. resource availability; ii. continued education; </w:t>
      </w:r>
      <w:r w:rsidR="00B12DB4">
        <w:br/>
      </w:r>
      <w:r w:rsidRPr="00002167">
        <w:t xml:space="preserve">iii. administrative protocols; and iv. decontamination practices. The data suggest that the EMS system as it currently stands is inadequately prepared to respond to a severe pandemic as a unified front. In the context of the COVID-19 outbreak, continued investigation is urgently warranted due to the limited existing literature on this issue. </w:t>
      </w:r>
    </w:p>
    <w:p w:rsidR="008F4FE6" w:rsidRPr="00002167" w:rsidRDefault="008F4FE6" w:rsidP="005533B9"/>
    <w:p w:rsidR="005533B9" w:rsidRPr="00002167" w:rsidRDefault="005533B9" w:rsidP="005533B9"/>
    <w:p w:rsidR="008F4FE6" w:rsidRPr="00002167" w:rsidRDefault="008F4FE6" w:rsidP="005533B9">
      <w:pPr>
        <w:pStyle w:val="Heading3"/>
      </w:pPr>
      <w:r w:rsidRPr="00002167">
        <w:t>Telemedicine in a Pandemic</w:t>
      </w:r>
    </w:p>
    <w:p w:rsidR="005533B9" w:rsidRPr="00002167" w:rsidRDefault="005533B9" w:rsidP="005533B9"/>
    <w:p w:rsidR="008F4FE6" w:rsidRPr="00002167" w:rsidRDefault="008F4FE6" w:rsidP="005533B9">
      <w:r w:rsidRPr="00002167">
        <w:t>As seen in the COVID-19 implications on EMS pandemic response in the United States, EMS services require quick and frequent adaptations to the constantly evolving circumstances of the pandemic. EMS providers experience significant exposure through emergent procedures such as advanced airway management or cardiopulmonary resuscitation [29]. To limit further exposure and adapt to the pandemic for interactions that do not require in-person intervention, telemedicine has been on a rise in both the prehospital and hospital settings; this has been promoted by the policy changes to the Emergency Medical Treatment and Labor Act. Emergent policy changes during the pandemic has allowed for the conservation of personal protective equipment and limiting exposure to providers through opportunities for technology-based</w:t>
      </w:r>
      <w:r w:rsidR="005533B9" w:rsidRPr="00002167">
        <w:t xml:space="preserve"> clinical evaluations. Turer et</w:t>
      </w:r>
      <w:r w:rsidRPr="00002167">
        <w:t xml:space="preserve"> al</w:t>
      </w:r>
      <w:r w:rsidR="005533B9" w:rsidRPr="00002167">
        <w:t>.</w:t>
      </w:r>
      <w:r w:rsidRPr="00002167">
        <w:t xml:space="preserve"> defines this as “electronic PPE” where telemedicine tools are used to help perform electronic medical screening exams [30].</w:t>
      </w:r>
    </w:p>
    <w:p w:rsidR="008F4FE6" w:rsidRPr="00002167" w:rsidRDefault="008F4FE6" w:rsidP="005533B9">
      <w:r w:rsidRPr="00002167">
        <w:t xml:space="preserve">Telemedicine has served as a great potential to conserve PPE in a time of need and protect providers from more exposure. Telemedicine also allows for ill patients, patients with pre-existing conditions, and the general patient population to seek care remotely while minimizing their exposure and in-person interactions. Digital health tools have been further developed during this period to be used for online triage, checking symptoms, video visits, remote monitoring, and to conduct epidemiological surveillance studies; artificial intelligence has also been </w:t>
      </w:r>
      <w:r w:rsidRPr="00002167">
        <w:lastRenderedPageBreak/>
        <w:t>used to aid in diagnosing patients with COVID-19 and identify those at risk [31].</w:t>
      </w:r>
    </w:p>
    <w:p w:rsidR="008F4FE6" w:rsidRPr="00002167" w:rsidRDefault="008F4FE6" w:rsidP="005533B9">
      <w:r w:rsidRPr="00002167">
        <w:t>Since the pandemic, many health plans and employers offer some coverage for telemedical services, and the Centers for Medicare &amp; Medicaid Services and commercial health plans have mostly waived co-pays for telemedicine to encourage utilization of remote services during the pandemic [32].</w:t>
      </w:r>
    </w:p>
    <w:p w:rsidR="008F4FE6" w:rsidRPr="00002167" w:rsidRDefault="008F4FE6" w:rsidP="005533B9">
      <w:r w:rsidRPr="00002167">
        <w:t>To continue promoting the use of telemedicine during the time of COVID-19, Medicare agreed to pay for COVID-19 treatment and other medical purposes with telemedicine if patients are seeing the same providers as in the past. There have also been more relaxed regulations around Health Insurance Portability and Accountability Act (HIPAA) in order to allow providers to provide telemedical treatments to patients with their personal phones [32].</w:t>
      </w:r>
    </w:p>
    <w:p w:rsidR="008F4FE6" w:rsidRPr="00002167" w:rsidRDefault="008F4FE6" w:rsidP="005533B9">
      <w:r w:rsidRPr="00002167">
        <w:t>Although there has been much growth to the telemedicine infrastructure over the past year in order for providers to provide effective care, there continue to be many new developments to the infrastructure. As an increasing amount of the population receives COVID-19 vaccinations with 31.4% of the total U.S. population already fully vaccinated as of 1-May-2021, both providers and patients are seeking to resume routine in-person visits [33]. Nevertheless, telemedicine can continue to be used moving forward to provide convenient and cost-effective care.</w:t>
      </w:r>
    </w:p>
    <w:p w:rsidR="008F4FE6" w:rsidRPr="00002167" w:rsidRDefault="008F4FE6" w:rsidP="005533B9"/>
    <w:p w:rsidR="005533B9" w:rsidRPr="00002167" w:rsidRDefault="005533B9" w:rsidP="005533B9"/>
    <w:p w:rsidR="008F4FE6" w:rsidRPr="00002167" w:rsidRDefault="008F4FE6" w:rsidP="005533B9">
      <w:pPr>
        <w:pStyle w:val="Heading3"/>
      </w:pPr>
      <w:r w:rsidRPr="00002167">
        <w:t>Stroke</w:t>
      </w:r>
    </w:p>
    <w:p w:rsidR="005533B9" w:rsidRPr="00002167" w:rsidRDefault="005533B9" w:rsidP="005533B9"/>
    <w:p w:rsidR="008F4FE6" w:rsidRPr="00002167" w:rsidRDefault="008F4FE6" w:rsidP="005533B9">
      <w:r w:rsidRPr="00002167">
        <w:t xml:space="preserve">The COVID-19 pandemic has had a considerable impact on the delivery of care for stroke patients in America. To be more exact, as the demand for EMS has risen due to the emergence of COVID-19, the number of stroke-related deaths have risen in excess. This evidence suggests that due to weekly COVID-19 infections and subsequent deaths, this prompted orders from the government to stay home to prevent viral spread. These measures heightened significant public fear of the virus, resulting in decreased utilization of emergency medical services related to cerebrovascular complications. This decrease in stroke-related EMS calls nationally resulted in the excess of </w:t>
      </w:r>
      <w:r w:rsidRPr="00002167">
        <w:lastRenderedPageBreak/>
        <w:t xml:space="preserve">cerebrovascular deaths as shown by Ikenburg et al. The increase in stroke-related mortalities could possibly be explained in part by the cerebrovascular pathology of COVID-19, in conjunction with public hesitancy and other in-facility factors [34]. </w:t>
      </w:r>
    </w:p>
    <w:p w:rsidR="008F4FE6" w:rsidRPr="00002167" w:rsidRDefault="008F4FE6" w:rsidP="005533B9">
      <w:pPr>
        <w:rPr>
          <w:highlight w:val="white"/>
        </w:rPr>
      </w:pPr>
      <w:r w:rsidRPr="00002167">
        <w:t xml:space="preserve">A similar effect has been observed in Germany during their lockdown period imposed by the COVID-19 pandemic. It was discovered that while the referral of stroke patients by emergency medical services remained stable, the level of public fear, similar to the United States, resulted in a decreased usage of emergency medical services. There has also been an increase in the severity of strokes during the lockdown </w:t>
      </w:r>
      <w:r w:rsidRPr="00002167">
        <w:rPr>
          <w:highlight w:val="white"/>
        </w:rPr>
        <w:t xml:space="preserve">as measured by the National Institutes of Health Stroke Scale [35]. To address this discrepancy, it is recommended that public health education of stroke should be given prior to the onset of a lockdown to reduce stroke mortality rates. </w:t>
      </w:r>
    </w:p>
    <w:p w:rsidR="008F4FE6" w:rsidRPr="00002167" w:rsidRDefault="008F4FE6" w:rsidP="005533B9">
      <w:pPr>
        <w:rPr>
          <w:highlight w:val="white"/>
        </w:rPr>
      </w:pPr>
      <w:r w:rsidRPr="00002167">
        <w:rPr>
          <w:highlight w:val="white"/>
        </w:rPr>
        <w:t>Presentations to emergency departments of time-sensitive conditions such as myocardial infarctions and stroke significantly decreased during the emergency declaration of the SARS-CoV-2 pandemic. In Massachusetts, these findings suggest decreased EMS contact for emergent conditions due to patients failing to seek timely medical care. While early presentations decreased, late presentations of these conditions increased, which resulted in significant morbidity and observably worsened patient outcomes. This has been attributed to the perception that encounters with the health care system would subsequently increase one’s risk of getting infected. However, delays in obtaining emergency care due to fear induced by the aforementioned perception would independently result in an increase in unfavorable outcomes. This also concerns the topic of patient motivation in pursuing emergency medical services, which could possibly be influenced by public health education on stroke [36].</w:t>
      </w:r>
    </w:p>
    <w:p w:rsidR="008F4FE6" w:rsidRPr="00002167" w:rsidRDefault="008F4FE6" w:rsidP="005533B9">
      <w:pPr>
        <w:rPr>
          <w:highlight w:val="white"/>
        </w:rPr>
      </w:pPr>
      <w:r w:rsidRPr="00002167">
        <w:rPr>
          <w:highlight w:val="white"/>
        </w:rPr>
        <w:t xml:space="preserve">With the increase in social distancing procedures that occurred due to the onset on the pandemic, stroke care has become more complicated on the part of the providers. To avoid these complications and ensure lower rates of cerebrovascular mortalities, it would be beneficial to promote patient education protocols for those at risk of acute strokes. Additionally, emphasizing diligence in response to stroke calls or other pandemic-related illnesses is important even in areas with relatively low disease prevalence [37]. Lastly, maintaining patient </w:t>
      </w:r>
      <w:r w:rsidRPr="00002167">
        <w:rPr>
          <w:highlight w:val="white"/>
        </w:rPr>
        <w:lastRenderedPageBreak/>
        <w:t xml:space="preserve">transport volumes at or near pre-pandemic levels through the patchwork of EMS systems prevalent in the United States could also help to counterbalance the increase of stroke mortality. </w:t>
      </w:r>
    </w:p>
    <w:p w:rsidR="008F4FE6" w:rsidRPr="00002167" w:rsidRDefault="008F4FE6" w:rsidP="005533B9"/>
    <w:p w:rsidR="005533B9" w:rsidRPr="00002167" w:rsidRDefault="005533B9" w:rsidP="005533B9"/>
    <w:p w:rsidR="008F4FE6" w:rsidRPr="00002167" w:rsidRDefault="008F4FE6" w:rsidP="005533B9">
      <w:pPr>
        <w:pStyle w:val="Heading2"/>
      </w:pPr>
      <w:r w:rsidRPr="00002167">
        <w:t>Conclusion</w:t>
      </w:r>
    </w:p>
    <w:p w:rsidR="008F4FE6" w:rsidRPr="00002167" w:rsidRDefault="008F4FE6" w:rsidP="005533B9">
      <w:pPr>
        <w:rPr>
          <w:szCs w:val="21"/>
        </w:rPr>
      </w:pPr>
    </w:p>
    <w:p w:rsidR="008F4FE6" w:rsidRPr="00002167" w:rsidRDefault="008F4FE6" w:rsidP="005533B9">
      <w:pPr>
        <w:rPr>
          <w:szCs w:val="21"/>
        </w:rPr>
      </w:pPr>
      <w:r w:rsidRPr="00002167">
        <w:rPr>
          <w:szCs w:val="21"/>
        </w:rPr>
        <w:t>A novel evidence-based national EMS pandemic response protocol may be beneficial in structuring uniform countermeasures to subdue the rapid spread of COVID-19 and similar threats that may emerge in the future. Investigation on whether EMS providers or their equipment are inadvertently serving as fomites for SARS-CoV-2 is warranted, and the use of reverse transcription polymerase chain reaction (rtPCR) to detect SARS-CoV-2 on EMS equipment surfaces may be helpful in understanding the efficacy of current decontamination practices. Nontraditional methods to reduce the risk of exposure to aerosolized pathogens should be explored, in light of the increasing PPE shortage. In addition to this, implementing telemedicine into EMS protocols could serve as another tool towards delivering care that is safe for both the patient and the EMS provider. Furthermore, by addressing the drastic rise in cerebrovascular mortalities during the COVID-19 pandemic, this could emphasize the importance of educating stroke patients to seek emergency health services despite increased public fear and negative perceptions. This would greatly benefit the timely delivery of care that is necessary for stroke cases related and not related to COVID-19.</w:t>
      </w:r>
    </w:p>
    <w:p w:rsidR="008F4FE6" w:rsidRPr="00002167" w:rsidRDefault="008F4FE6" w:rsidP="005533B9">
      <w:pPr>
        <w:rPr>
          <w:szCs w:val="21"/>
        </w:rPr>
      </w:pPr>
    </w:p>
    <w:p w:rsidR="005533B9" w:rsidRPr="00002167" w:rsidRDefault="005533B9" w:rsidP="005533B9">
      <w:pPr>
        <w:rPr>
          <w:szCs w:val="21"/>
        </w:rPr>
      </w:pPr>
    </w:p>
    <w:p w:rsidR="008F4FE6" w:rsidRPr="00002167" w:rsidRDefault="005533B9" w:rsidP="005533B9">
      <w:pPr>
        <w:pStyle w:val="Heading2"/>
        <w:rPr>
          <w:sz w:val="24"/>
          <w:szCs w:val="24"/>
        </w:rPr>
      </w:pPr>
      <w:r w:rsidRPr="00002167">
        <w:t>Acknowledg</w:t>
      </w:r>
      <w:r w:rsidR="008F4FE6" w:rsidRPr="00002167">
        <w:t>ments</w:t>
      </w:r>
    </w:p>
    <w:p w:rsidR="008F4FE6" w:rsidRPr="00002167" w:rsidRDefault="008F4FE6" w:rsidP="005533B9"/>
    <w:p w:rsidR="008F4FE6" w:rsidRPr="00002167" w:rsidRDefault="008F4FE6" w:rsidP="005533B9">
      <w:r w:rsidRPr="00002167">
        <w:t>The authors wish to thank Dr. Barnita Haldar and Catherine Smith for review of the manuscript. The research presented in the paper is that of the authors and does not reflect that of their institutional affiliations.</w:t>
      </w:r>
    </w:p>
    <w:p w:rsidR="008F4FE6" w:rsidRPr="00002167" w:rsidRDefault="008F4FE6" w:rsidP="005533B9">
      <w:r w:rsidRPr="00002167">
        <w:t xml:space="preserve">Matthew Barreto would like to extend his thanks towards his academic advisor Dr. Laurence Nolan of the Psychology Department at Wagner College. He would also like to thank HAMES National, co-author Amber Chan, and the leadership of Adjunct Prof. Christian </w:t>
      </w:r>
      <w:r w:rsidRPr="00002167">
        <w:lastRenderedPageBreak/>
        <w:t xml:space="preserve">Ventura in exploring research topics regarding prehospital response and EMS provider care. </w:t>
      </w:r>
    </w:p>
    <w:p w:rsidR="008F4FE6" w:rsidRPr="00002167" w:rsidRDefault="008F4FE6" w:rsidP="005533B9">
      <w:r w:rsidRPr="00002167">
        <w:t xml:space="preserve">Amber Chan extends her thanks to Dr. Barnita Haldar and Adjunct Prof. Christian Ventura for leading the EMS Pandemic Response Research Lab and providing constant support through all our endeavors. She would also like to thank her co-author, Matthew Barreto, for his collaboration and support. </w:t>
      </w:r>
    </w:p>
    <w:p w:rsidR="008F4FE6" w:rsidRPr="00002167" w:rsidRDefault="008F4FE6" w:rsidP="005533B9">
      <w:r w:rsidRPr="00002167">
        <w:t xml:space="preserve">Christian Ventura would like to express his appreciation to the Associate Researchers at the EMS Pandemic Response Research Lab including Saloni Jain, MS, Charu Khatreja, MDS, June Knauth, and Niviya George, MPH, and Research Assistants Bhaash Pathak, Nicole Rychagov, and Joe Abi-Rached. He would also like to thank Olivia St. Pierre, AEMT-Cardiac, for continued motivation, unparalleled support, and shared joy as the two jointly taught EMT students in rural Vermont during the COVID pandemic concurrently with the draft of this chapter. </w:t>
      </w:r>
    </w:p>
    <w:p w:rsidR="008F4FE6" w:rsidRPr="00002167" w:rsidRDefault="008F4FE6" w:rsidP="005533B9"/>
    <w:p w:rsidR="008F4FE6" w:rsidRPr="00002167" w:rsidRDefault="008F4FE6" w:rsidP="005533B9">
      <w:pPr>
        <w:rPr>
          <w:smallCaps/>
        </w:rPr>
      </w:pPr>
    </w:p>
    <w:p w:rsidR="008F4FE6" w:rsidRPr="00002167" w:rsidRDefault="008F4FE6" w:rsidP="005533B9">
      <w:pPr>
        <w:pStyle w:val="Heading2"/>
      </w:pPr>
      <w:r w:rsidRPr="00002167">
        <w:t>References</w:t>
      </w:r>
    </w:p>
    <w:p w:rsidR="008F4FE6" w:rsidRPr="00002167" w:rsidRDefault="008F4FE6" w:rsidP="005533B9"/>
    <w:p w:rsidR="008F4FE6" w:rsidRPr="00002167" w:rsidRDefault="008F4FE6" w:rsidP="005533B9">
      <w:pPr>
        <w:numPr>
          <w:ilvl w:val="0"/>
          <w:numId w:val="1"/>
        </w:numPr>
        <w:ind w:left="504" w:hanging="504"/>
      </w:pPr>
      <w:r w:rsidRPr="00002167">
        <w:t>Centers for Disease Control and Prevention. “National Center for Immunization and Respiratory Diseases (NCIRD).”</w:t>
      </w:r>
    </w:p>
    <w:p w:rsidR="008F4FE6" w:rsidRPr="00002167" w:rsidRDefault="008F4FE6" w:rsidP="005533B9">
      <w:pPr>
        <w:numPr>
          <w:ilvl w:val="0"/>
          <w:numId w:val="1"/>
        </w:numPr>
        <w:ind w:left="504" w:hanging="504"/>
      </w:pPr>
      <w:r w:rsidRPr="00002167">
        <w:t xml:space="preserve">Moher, David, Alessandro Liberati, Jennifer Tetzlaff, Douglas G. Altman, and Prisma Group. "Preferred reporting items for systematic reviews and meta-analyses: the PRISMA statement." </w:t>
      </w:r>
      <w:r w:rsidRPr="00002167">
        <w:rPr>
          <w:i/>
        </w:rPr>
        <w:t>PLoS medicine</w:t>
      </w:r>
      <w:r w:rsidRPr="00002167">
        <w:t xml:space="preserve"> 6, no. 7 (2009): e1000097.</w:t>
      </w:r>
    </w:p>
    <w:p w:rsidR="008F4FE6" w:rsidRPr="00002167" w:rsidRDefault="008F4FE6" w:rsidP="005533B9">
      <w:pPr>
        <w:numPr>
          <w:ilvl w:val="0"/>
          <w:numId w:val="1"/>
        </w:numPr>
        <w:ind w:left="504" w:hanging="504"/>
      </w:pPr>
      <w:r w:rsidRPr="00002167">
        <w:t>Edmonton (AB) Institute of Health Economics. “Quality appraisal of case series studies checklist.” (2014)</w:t>
      </w:r>
      <w:r w:rsidR="00B12DB4">
        <w:t>.</w:t>
      </w:r>
    </w:p>
    <w:p w:rsidR="008F4FE6" w:rsidRPr="00002167" w:rsidRDefault="008F4FE6" w:rsidP="005533B9">
      <w:pPr>
        <w:numPr>
          <w:ilvl w:val="0"/>
          <w:numId w:val="1"/>
        </w:numPr>
        <w:ind w:left="504" w:hanging="504"/>
        <w:rPr>
          <w:b/>
        </w:rPr>
      </w:pPr>
      <w:r w:rsidRPr="00002167">
        <w:t>Lin, Lifeng, and Haitao Chu. "Quantifying publication bias in meta</w:t>
      </w:r>
      <w:r w:rsidRPr="00002167">
        <w:rPr>
          <w:rFonts w:ascii="Cambria Math" w:hAnsi="Cambria Math" w:cs="Cambria Math"/>
        </w:rPr>
        <w:t>‐</w:t>
      </w:r>
      <w:r w:rsidRPr="00002167">
        <w:t xml:space="preserve">analysis." </w:t>
      </w:r>
      <w:r w:rsidRPr="00002167">
        <w:rPr>
          <w:i/>
        </w:rPr>
        <w:t>Biometrics</w:t>
      </w:r>
      <w:r w:rsidRPr="00002167">
        <w:t xml:space="preserve"> 74, no. 3 (2018): 785-794.</w:t>
      </w:r>
    </w:p>
    <w:p w:rsidR="008F4FE6" w:rsidRPr="00002167" w:rsidRDefault="008F4FE6" w:rsidP="005533B9">
      <w:pPr>
        <w:numPr>
          <w:ilvl w:val="0"/>
          <w:numId w:val="1"/>
        </w:numPr>
        <w:ind w:left="504" w:hanging="504"/>
      </w:pPr>
      <w:r w:rsidRPr="00002167">
        <w:t xml:space="preserve">Ventura, Christian, Cody Gibson, and George Donald Collier. "Emergency Medical Services resource capacity and competency amid COVID-19 in the United States: preliminary findings from a national survey." </w:t>
      </w:r>
      <w:r w:rsidRPr="00002167">
        <w:rPr>
          <w:i/>
        </w:rPr>
        <w:t>Heliyon</w:t>
      </w:r>
      <w:r w:rsidRPr="00002167">
        <w:t xml:space="preserve"> 6, no. 5 (2020): e03900.</w:t>
      </w:r>
    </w:p>
    <w:p w:rsidR="008F4FE6" w:rsidRPr="00002167" w:rsidRDefault="008F4FE6" w:rsidP="005533B9">
      <w:pPr>
        <w:numPr>
          <w:ilvl w:val="0"/>
          <w:numId w:val="1"/>
        </w:numPr>
        <w:ind w:left="504" w:hanging="504"/>
      </w:pPr>
      <w:r w:rsidRPr="00002167">
        <w:t xml:space="preserve">Nunez, S., A. Moreno, K. Green, and J. Villar. "The stethoscope in the emergency department: a vector of infection?." </w:t>
      </w:r>
      <w:r w:rsidRPr="00002167">
        <w:rPr>
          <w:i/>
        </w:rPr>
        <w:t>Epidemiology &amp; Infection</w:t>
      </w:r>
      <w:r w:rsidRPr="00002167">
        <w:t xml:space="preserve"> 124, no. 2 (2000): 233-237.</w:t>
      </w:r>
    </w:p>
    <w:p w:rsidR="008F4FE6" w:rsidRPr="00002167" w:rsidRDefault="008F4FE6" w:rsidP="005533B9">
      <w:pPr>
        <w:numPr>
          <w:ilvl w:val="0"/>
          <w:numId w:val="1"/>
        </w:numPr>
        <w:ind w:left="504" w:hanging="504"/>
      </w:pPr>
      <w:r w:rsidRPr="00002167">
        <w:lastRenderedPageBreak/>
        <w:t xml:space="preserve">Gibson, Cody Vaughn. "Emergency medical services oxygen equipment: a fomite for transmission of MRSA?." </w:t>
      </w:r>
      <w:r w:rsidRPr="00002167">
        <w:rPr>
          <w:i/>
        </w:rPr>
        <w:t>Emergency medicine journal</w:t>
      </w:r>
      <w:r w:rsidRPr="00002167">
        <w:t xml:space="preserve"> 36, no. 2 (2019): 89-91.</w:t>
      </w:r>
    </w:p>
    <w:p w:rsidR="008F4FE6" w:rsidRPr="00002167" w:rsidRDefault="008F4FE6" w:rsidP="005533B9">
      <w:pPr>
        <w:numPr>
          <w:ilvl w:val="0"/>
          <w:numId w:val="1"/>
        </w:numPr>
        <w:ind w:left="504" w:hanging="504"/>
      </w:pPr>
      <w:r w:rsidRPr="00002167">
        <w:t xml:space="preserve">Goodman, C. S., and D. C. Cone. "Emergency medical services equipment hygiene practices." </w:t>
      </w:r>
      <w:r w:rsidRPr="00002167">
        <w:rPr>
          <w:i/>
        </w:rPr>
        <w:t>Prehospital Emergency Care: Official Journal of the National Association of EMS Physicians and the National Association of State EMS Directors</w:t>
      </w:r>
      <w:r w:rsidRPr="00002167">
        <w:t xml:space="preserve"> 5, no. 2 (2001): 169-173.</w:t>
      </w:r>
    </w:p>
    <w:p w:rsidR="008F4FE6" w:rsidRPr="00002167" w:rsidRDefault="008F4FE6" w:rsidP="005533B9">
      <w:pPr>
        <w:numPr>
          <w:ilvl w:val="0"/>
          <w:numId w:val="1"/>
        </w:numPr>
        <w:ind w:left="504" w:hanging="504"/>
        <w:rPr>
          <w:b/>
        </w:rPr>
      </w:pPr>
      <w:r w:rsidRPr="00002167">
        <w:t xml:space="preserve">Lindsley, William G., Tia L. McClelland, Dylan T. Neu, Stephen B. Martin Jr, Kenneth R. Mead, Robert E. Thewlis, and John D. Noti. "Ambulance disinfection using Ultraviolet Germicidal Irradiation (UVGI): Effects of fixture location and surface reflectivity." </w:t>
      </w:r>
      <w:r w:rsidRPr="00002167">
        <w:rPr>
          <w:i/>
        </w:rPr>
        <w:t>Journal of occupational and environmental hygiene</w:t>
      </w:r>
      <w:r w:rsidRPr="00002167">
        <w:t xml:space="preserve"> 15, no. 1 (2018): 1-12.</w:t>
      </w:r>
    </w:p>
    <w:p w:rsidR="008F4FE6" w:rsidRPr="00002167" w:rsidRDefault="008F4FE6" w:rsidP="005533B9">
      <w:pPr>
        <w:numPr>
          <w:ilvl w:val="0"/>
          <w:numId w:val="1"/>
        </w:numPr>
        <w:ind w:left="504" w:hanging="504"/>
      </w:pPr>
      <w:r w:rsidRPr="00002167">
        <w:t xml:space="preserve">Hudson, Andrew J., Graeme D. Glaister, and Hans-Joachim Wieden. "The emergency medical service microbiome." </w:t>
      </w:r>
      <w:r w:rsidRPr="00002167">
        <w:rPr>
          <w:i/>
        </w:rPr>
        <w:t>Applied and environmental microbiology</w:t>
      </w:r>
      <w:r w:rsidRPr="00002167">
        <w:t xml:space="preserve"> 84, no. 5 (2018).</w:t>
      </w:r>
    </w:p>
    <w:p w:rsidR="008F4FE6" w:rsidRPr="00002167" w:rsidRDefault="008F4FE6" w:rsidP="005533B9">
      <w:pPr>
        <w:numPr>
          <w:ilvl w:val="0"/>
          <w:numId w:val="1"/>
        </w:numPr>
        <w:ind w:left="504" w:hanging="504"/>
      </w:pPr>
      <w:r w:rsidRPr="00002167">
        <w:t xml:space="preserve">Patel, Anita, Leslie Lee, Satish K. Pillai, Amy L. Valderrama, Lisa J. Delaney, and Lewis Radonovich. "Approach to prioritizing respiratory protection when demand exceeds supplies during an influenza pandemic: a call to action." </w:t>
      </w:r>
      <w:r w:rsidRPr="00002167">
        <w:rPr>
          <w:i/>
        </w:rPr>
        <w:t>Health security</w:t>
      </w:r>
      <w:r w:rsidRPr="00002167">
        <w:t xml:space="preserve"> 17, no. 2 (2019): 152-155.</w:t>
      </w:r>
    </w:p>
    <w:p w:rsidR="008F4FE6" w:rsidRPr="00002167" w:rsidRDefault="008F4FE6" w:rsidP="005533B9">
      <w:pPr>
        <w:numPr>
          <w:ilvl w:val="0"/>
          <w:numId w:val="1"/>
        </w:numPr>
        <w:ind w:left="504" w:hanging="504"/>
      </w:pPr>
      <w:r w:rsidRPr="00002167">
        <w:t xml:space="preserve">Lindsley, William G., Francoise M. Blachere, Tia L. McClelland, Dylan T. Neu, Anna Mnatsakanova, Stephen B. Martin Jr, Kenneth R. Mead, and John D. Noti. "Efficacy of an ambulance ventilation system in reducing EMS worker exposure to airborne particles from a patient cough aerosol simulator." </w:t>
      </w:r>
      <w:r w:rsidRPr="00002167">
        <w:rPr>
          <w:i/>
        </w:rPr>
        <w:t>Journal of occupational and environmental hygiene</w:t>
      </w:r>
      <w:r w:rsidRPr="00002167">
        <w:t xml:space="preserve"> 16, no. 12 (2019): 804-816.</w:t>
      </w:r>
    </w:p>
    <w:p w:rsidR="008F4FE6" w:rsidRPr="00002167" w:rsidRDefault="008F4FE6" w:rsidP="005533B9">
      <w:pPr>
        <w:numPr>
          <w:ilvl w:val="0"/>
          <w:numId w:val="1"/>
        </w:numPr>
        <w:ind w:left="504" w:hanging="504"/>
      </w:pPr>
      <w:r w:rsidRPr="00002167">
        <w:t xml:space="preserve">Oliver, Anthony L., Gerald S. Poplin, and Christopher A. Kahn. "Emergency Medical Services and 9-1-1 pandemic influenza preparedness: a national assessment." </w:t>
      </w:r>
      <w:r w:rsidRPr="00002167">
        <w:rPr>
          <w:i/>
        </w:rPr>
        <w:t>The American journal of emergency medicine</w:t>
      </w:r>
      <w:r w:rsidRPr="00002167">
        <w:t xml:space="preserve"> 30, no. 3 (2012): 505-509.</w:t>
      </w:r>
    </w:p>
    <w:p w:rsidR="008F4FE6" w:rsidRPr="00002167" w:rsidRDefault="008F4FE6" w:rsidP="005533B9">
      <w:pPr>
        <w:numPr>
          <w:ilvl w:val="0"/>
          <w:numId w:val="1"/>
        </w:numPr>
        <w:ind w:left="504" w:hanging="504"/>
      </w:pPr>
      <w:r w:rsidRPr="00002167">
        <w:t xml:space="preserve">Anthony, Christy, Tito Joe Thomas, Bridget M. Berg, Rita V. Burke, and Jeffrey S. Upperman. "Factors associated with preparedness of the US healthcare system to respond to a pediatric surge during an infectious disease pandemic: Is our </w:t>
      </w:r>
      <w:r w:rsidRPr="00002167">
        <w:lastRenderedPageBreak/>
        <w:t xml:space="preserve">nation prepared?." </w:t>
      </w:r>
      <w:r w:rsidRPr="00002167">
        <w:rPr>
          <w:i/>
        </w:rPr>
        <w:t>American journal of disaster medicine</w:t>
      </w:r>
      <w:r w:rsidRPr="00002167">
        <w:t xml:space="preserve"> 12, no. 4 (2017): 203-226.</w:t>
      </w:r>
    </w:p>
    <w:p w:rsidR="008F4FE6" w:rsidRPr="00002167" w:rsidRDefault="008F4FE6" w:rsidP="005533B9">
      <w:pPr>
        <w:numPr>
          <w:ilvl w:val="0"/>
          <w:numId w:val="1"/>
        </w:numPr>
        <w:ind w:left="504" w:hanging="504"/>
      </w:pPr>
      <w:r w:rsidRPr="00002167">
        <w:t xml:space="preserve">Tippett, Vivienne, Kerrianne Watt, Steven Raven, Heath Kelly, Michael Coory, Frank Archer, and Konrad Jamrozik. "Anticipated behaviors of emergency prehospital medical care providers during an influenza pandemic." </w:t>
      </w:r>
      <w:r w:rsidRPr="00002167">
        <w:rPr>
          <w:i/>
        </w:rPr>
        <w:t>Prehospital and disaster medicine</w:t>
      </w:r>
      <w:r w:rsidRPr="00002167">
        <w:t xml:space="preserve"> 25, no. 1 (2010): 20-25.</w:t>
      </w:r>
    </w:p>
    <w:p w:rsidR="008F4FE6" w:rsidRPr="00B12DB4" w:rsidRDefault="008F4FE6" w:rsidP="005533B9">
      <w:pPr>
        <w:numPr>
          <w:ilvl w:val="0"/>
          <w:numId w:val="1"/>
        </w:numPr>
        <w:ind w:left="504" w:hanging="504"/>
      </w:pPr>
      <w:r w:rsidRPr="00002167">
        <w:t xml:space="preserve">Burkle Jr, Frederick M., Frank L. Archer, Erin Smith, and MClinEpi BHlthInfoManagement. "Development of prehospital, population-based triage-management protocols for pandemics." </w:t>
      </w:r>
      <w:r w:rsidRPr="00002167">
        <w:rPr>
          <w:i/>
        </w:rPr>
        <w:t>Prehospital and disaster medicine</w:t>
      </w:r>
      <w:r w:rsidRPr="00002167">
        <w:t xml:space="preserve"> (2008): 420-430.</w:t>
      </w:r>
    </w:p>
    <w:p w:rsidR="008F4FE6" w:rsidRPr="00002167" w:rsidRDefault="008F4FE6" w:rsidP="005533B9">
      <w:pPr>
        <w:numPr>
          <w:ilvl w:val="0"/>
          <w:numId w:val="1"/>
        </w:numPr>
        <w:ind w:left="504" w:hanging="504"/>
      </w:pPr>
      <w:r w:rsidRPr="00002167">
        <w:t xml:space="preserve">Barnett, Daniel J., Roger Levine, Carol B. Thompson, Gamunu U. Wijetunge, Anthony L. Oliver, Melissa A. Bentley, Patrick D. Neubert, Ronald G. Pirrallo, Jonathan M. Links, and Ran D. Balicer. "Gauging US Emergency Medical Services workers' willingness to respond to pandemic influenza using a threat-and efficacy-based assessment framework." </w:t>
      </w:r>
      <w:r w:rsidRPr="00002167">
        <w:rPr>
          <w:i/>
        </w:rPr>
        <w:t>PLoS One</w:t>
      </w:r>
      <w:r w:rsidRPr="00002167">
        <w:t xml:space="preserve"> 5, no. 3 (2010): e9856.</w:t>
      </w:r>
    </w:p>
    <w:p w:rsidR="008F4FE6" w:rsidRPr="00002167" w:rsidRDefault="008F4FE6" w:rsidP="005533B9">
      <w:pPr>
        <w:numPr>
          <w:ilvl w:val="0"/>
          <w:numId w:val="1"/>
        </w:numPr>
        <w:ind w:left="504" w:hanging="504"/>
      </w:pPr>
      <w:r w:rsidRPr="00002167">
        <w:t xml:space="preserve">Devnani, Mahesh. "Factors associated with the willingness of health care personnel to work during an influenza public health emergency: an integrative review." </w:t>
      </w:r>
      <w:r w:rsidRPr="00002167">
        <w:rPr>
          <w:i/>
        </w:rPr>
        <w:t>Prehospital and disaster medicine</w:t>
      </w:r>
      <w:r w:rsidRPr="00002167">
        <w:t xml:space="preserve"> 27, no. 6 (2012): 551-566.</w:t>
      </w:r>
    </w:p>
    <w:p w:rsidR="008F4FE6" w:rsidRPr="00002167" w:rsidRDefault="008F4FE6" w:rsidP="005533B9">
      <w:pPr>
        <w:numPr>
          <w:ilvl w:val="0"/>
          <w:numId w:val="1"/>
        </w:numPr>
        <w:ind w:left="504" w:hanging="504"/>
      </w:pPr>
      <w:r w:rsidRPr="00002167">
        <w:t xml:space="preserve">Rutkow, Lainie, Jon S. Vernick, Carol B. Thompson, Ronald G. Pirrallo, and Daniel J. Barnett. "Emergency preparedness law and willingness to respond in the EMS workforce." </w:t>
      </w:r>
      <w:r w:rsidRPr="00002167">
        <w:rPr>
          <w:i/>
        </w:rPr>
        <w:t>Prehospital and disaster medicine</w:t>
      </w:r>
      <w:r w:rsidRPr="00002167">
        <w:t xml:space="preserve"> 29, no. 4 (2014): 358.</w:t>
      </w:r>
    </w:p>
    <w:p w:rsidR="008F4FE6" w:rsidRPr="00002167" w:rsidRDefault="008F4FE6" w:rsidP="005533B9">
      <w:pPr>
        <w:numPr>
          <w:ilvl w:val="0"/>
          <w:numId w:val="1"/>
        </w:numPr>
        <w:ind w:left="504" w:hanging="504"/>
      </w:pPr>
      <w:r w:rsidRPr="00002167">
        <w:t>Gershon, Robyn R</w:t>
      </w:r>
      <w:r w:rsidR="008E0A72">
        <w:t xml:space="preserve">. </w:t>
      </w:r>
      <w:r w:rsidRPr="00002167">
        <w:t>M</w:t>
      </w:r>
      <w:r w:rsidR="008E0A72">
        <w:t>.</w:t>
      </w:r>
      <w:r w:rsidRPr="00002167">
        <w:t xml:space="preserve">, Nikole Vandelinde, Lori A. Magda, Julie M. Pearson, Andrew Werner, and David Prezant. "Evaluation of a pandemic preparedness training intervention for emergency medical services personnel." </w:t>
      </w:r>
      <w:r w:rsidRPr="00002167">
        <w:rPr>
          <w:i/>
        </w:rPr>
        <w:t>Prehospital and disaster medicine</w:t>
      </w:r>
      <w:r w:rsidRPr="00002167">
        <w:t xml:space="preserve"> 24, no. 6 (2009): 508-511.</w:t>
      </w:r>
    </w:p>
    <w:p w:rsidR="008F4FE6" w:rsidRPr="00002167" w:rsidRDefault="008F4FE6" w:rsidP="005533B9">
      <w:pPr>
        <w:numPr>
          <w:ilvl w:val="0"/>
          <w:numId w:val="1"/>
        </w:numPr>
        <w:ind w:left="504" w:hanging="504"/>
      </w:pPr>
      <w:r w:rsidRPr="00002167">
        <w:t xml:space="preserve">El-Hage, Wissam, Coraline Hingray, Cédric Lemogne, Antoine Yrondi, Paul Brunault, Thomas Bienvenu, Bruno Etain et al. "Les professionnels de santé face à la pandémie de la maladie à coronavirus (COVID-19): quels risques pour leur santé mentale?." </w:t>
      </w:r>
      <w:r w:rsidRPr="00002167">
        <w:rPr>
          <w:i/>
        </w:rPr>
        <w:t>L'encephale</w:t>
      </w:r>
      <w:r w:rsidRPr="00002167">
        <w:t xml:space="preserve"> 46, no. 3 (2020): S73-S80.</w:t>
      </w:r>
    </w:p>
    <w:p w:rsidR="008F4FE6" w:rsidRPr="00B12DB4" w:rsidRDefault="008F4FE6" w:rsidP="005533B9">
      <w:pPr>
        <w:numPr>
          <w:ilvl w:val="0"/>
          <w:numId w:val="1"/>
        </w:numPr>
        <w:ind w:left="504" w:hanging="504"/>
      </w:pPr>
      <w:r w:rsidRPr="00002167">
        <w:lastRenderedPageBreak/>
        <w:t>Greenberg, Neil, Mary Docherty, Sam Gnanapragasam, and Simon Wessely. "Managing mental health challenges faced by healthcare workers during covid-19 pandemic."</w:t>
      </w:r>
      <w:r w:rsidR="00DB5064" w:rsidRPr="00002167">
        <w:t xml:space="preserve"> </w:t>
      </w:r>
      <w:r w:rsidR="00DB5064" w:rsidRPr="00002167">
        <w:rPr>
          <w:i/>
        </w:rPr>
        <w:t>BMJ</w:t>
      </w:r>
      <w:r w:rsidR="00DB5064" w:rsidRPr="00002167">
        <w:t xml:space="preserve"> </w:t>
      </w:r>
      <w:r w:rsidRPr="00002167">
        <w:t>368 (2020).</w:t>
      </w:r>
    </w:p>
    <w:p w:rsidR="008F4FE6" w:rsidRPr="00002167" w:rsidRDefault="008F4FE6" w:rsidP="005533B9">
      <w:pPr>
        <w:numPr>
          <w:ilvl w:val="0"/>
          <w:numId w:val="1"/>
        </w:numPr>
        <w:ind w:left="504" w:hanging="504"/>
      </w:pPr>
      <w:r w:rsidRPr="00002167">
        <w:t>Centers for Disease Control and Prevention. "Interim Recommendations for E</w:t>
      </w:r>
      <w:bookmarkStart w:id="0" w:name="_GoBack"/>
      <w:bookmarkEnd w:id="0"/>
      <w:r w:rsidRPr="00002167">
        <w:t xml:space="preserve">mergency Medical Services (EMS) Systems and 911 Public Safety Answering Points/Emergency Communication Centers (PSAP/ECCS) in the United States During the Coronavirus Disease (COVID-19) Pandemic." In </w:t>
      </w:r>
      <w:r w:rsidRPr="00002167">
        <w:rPr>
          <w:i/>
        </w:rPr>
        <w:t>Centers for Disease Control and Prevention (US)</w:t>
      </w:r>
      <w:r w:rsidRPr="00002167">
        <w:t>. Centers for Disease Control and Prevention (US), 2020.</w:t>
      </w:r>
    </w:p>
    <w:p w:rsidR="008F4FE6" w:rsidRPr="00002167" w:rsidRDefault="008F4FE6" w:rsidP="005533B9">
      <w:pPr>
        <w:numPr>
          <w:ilvl w:val="0"/>
          <w:numId w:val="1"/>
        </w:numPr>
        <w:ind w:left="504" w:hanging="504"/>
      </w:pPr>
      <w:r w:rsidRPr="00002167">
        <w:t xml:space="preserve">Garcia-Castrillo, Luis, Roberta Petrino, Robert Leach, Christoph Dodt, Wilhelm Behringer, Abdo Khoury, and Marc Sabbe. "European Society </w:t>
      </w:r>
      <w:r w:rsidR="00B12DB4" w:rsidRPr="00002167">
        <w:t>for</w:t>
      </w:r>
      <w:r w:rsidRPr="00002167">
        <w:t xml:space="preserve"> Emergency Medicine position paper on emergency medical systems’ response to COVID-19." </w:t>
      </w:r>
      <w:r w:rsidRPr="00002167">
        <w:rPr>
          <w:i/>
        </w:rPr>
        <w:t>European Journal of Emergency Medicine</w:t>
      </w:r>
      <w:r w:rsidRPr="00002167">
        <w:t xml:space="preserve"> (2020).</w:t>
      </w:r>
    </w:p>
    <w:p w:rsidR="008F4FE6" w:rsidRPr="00002167" w:rsidRDefault="008F4FE6" w:rsidP="005533B9">
      <w:pPr>
        <w:numPr>
          <w:ilvl w:val="0"/>
          <w:numId w:val="1"/>
        </w:numPr>
        <w:ind w:left="504" w:hanging="504"/>
      </w:pPr>
      <w:r w:rsidRPr="00002167">
        <w:t xml:space="preserve">Watt, Kerrianne, Vivienne Tippett, Steven Raven, Konrad Jamrozik, Michael Coory, Frank Archer, and Heath Kelly. "Attitudes to living and working in pandemic conditions among emergency prehospital medical care personnel." </w:t>
      </w:r>
      <w:r w:rsidRPr="00002167">
        <w:rPr>
          <w:i/>
        </w:rPr>
        <w:t>Prehospital and disaster medicine</w:t>
      </w:r>
      <w:r w:rsidRPr="00002167">
        <w:t xml:space="preserve"> 25, no. 1 (2010): 13-19.</w:t>
      </w:r>
    </w:p>
    <w:p w:rsidR="008F4FE6" w:rsidRPr="00002167" w:rsidRDefault="008F4FE6" w:rsidP="005533B9">
      <w:pPr>
        <w:numPr>
          <w:ilvl w:val="0"/>
          <w:numId w:val="1"/>
        </w:numPr>
        <w:ind w:left="504" w:hanging="504"/>
      </w:pPr>
      <w:r w:rsidRPr="00002167">
        <w:t xml:space="preserve">Albrecht, Roland, Jürgen Knapp, Lorenz Theiler, Marcus Eder, and Urs Pietsch. "Transport of COVID-19 and other highly contagious patients by helicopter and fixed-wing air ambulance: a narrative review and experience of the Swiss air rescue Rega." </w:t>
      </w:r>
      <w:r w:rsidRPr="00002167">
        <w:rPr>
          <w:i/>
        </w:rPr>
        <w:t>Scandinavian journal of trauma, resuscitation and emergency medicine</w:t>
      </w:r>
      <w:r w:rsidRPr="00002167">
        <w:t xml:space="preserve"> 28 (2020): 1-6.</w:t>
      </w:r>
    </w:p>
    <w:p w:rsidR="008F4FE6" w:rsidRPr="00002167" w:rsidRDefault="008F4FE6" w:rsidP="005533B9">
      <w:pPr>
        <w:numPr>
          <w:ilvl w:val="0"/>
          <w:numId w:val="1"/>
        </w:numPr>
        <w:ind w:left="504" w:hanging="504"/>
      </w:pPr>
      <w:r w:rsidRPr="00002167">
        <w:t xml:space="preserve">Zou, Lirong, Feng Ruan, Mingxing Huang, Lijun Liang, Huitao Huang, Zhongsi Hong, Jianxiang Yu et al. "SARS-CoV-2 viral load in upper respiratory specimens of infected patients." </w:t>
      </w:r>
      <w:r w:rsidRPr="00002167">
        <w:rPr>
          <w:i/>
        </w:rPr>
        <w:t>New England Journal of Medicine</w:t>
      </w:r>
      <w:r w:rsidRPr="00002167">
        <w:t xml:space="preserve"> 382, no. 12 (2020): 1177-1179.</w:t>
      </w:r>
    </w:p>
    <w:p w:rsidR="008F4FE6" w:rsidRPr="00002167" w:rsidRDefault="008F4FE6" w:rsidP="005533B9">
      <w:pPr>
        <w:numPr>
          <w:ilvl w:val="0"/>
          <w:numId w:val="1"/>
        </w:numPr>
        <w:ind w:left="504" w:hanging="504"/>
      </w:pPr>
      <w:r w:rsidRPr="00002167">
        <w:t xml:space="preserve">Murphy, David L., Leslie M. Barnard, Christopher J. Drucker, Betty Y. Yang, Jamie M. Emert, Leilani Schwarcz, Catherine R. Counts et al. "Occupational exposures and programmatic response to COVID-19 pandemic: an emergency medical services experience." </w:t>
      </w:r>
      <w:r w:rsidRPr="00002167">
        <w:rPr>
          <w:i/>
        </w:rPr>
        <w:t>Emergency Medicine Journal</w:t>
      </w:r>
      <w:r w:rsidRPr="00002167">
        <w:t xml:space="preserve"> 37, no. 11 (2020): 707-713.</w:t>
      </w:r>
    </w:p>
    <w:p w:rsidR="008F4FE6" w:rsidRPr="00002167" w:rsidRDefault="008F4FE6" w:rsidP="005533B9">
      <w:pPr>
        <w:numPr>
          <w:ilvl w:val="0"/>
          <w:numId w:val="1"/>
        </w:numPr>
        <w:ind w:left="504" w:hanging="504"/>
      </w:pPr>
      <w:r w:rsidRPr="00002167">
        <w:lastRenderedPageBreak/>
        <w:t xml:space="preserve">Maudet, Ludovic, François Sarasin, Fabrice Dami, Pierre-Nicolas Carron, and Mathieu Pasquier. "Emergency medical services: COVID-19 crisis." </w:t>
      </w:r>
      <w:r w:rsidRPr="00002167">
        <w:rPr>
          <w:i/>
        </w:rPr>
        <w:t>Revue medicale suisse</w:t>
      </w:r>
      <w:r w:rsidRPr="00002167">
        <w:t xml:space="preserve"> 16, no. 691-2 (2020): 810-814.</w:t>
      </w:r>
    </w:p>
    <w:p w:rsidR="008F4FE6" w:rsidRPr="00002167" w:rsidRDefault="008F4FE6" w:rsidP="005533B9">
      <w:pPr>
        <w:numPr>
          <w:ilvl w:val="0"/>
          <w:numId w:val="1"/>
        </w:numPr>
        <w:ind w:left="504" w:hanging="504"/>
      </w:pPr>
      <w:r w:rsidRPr="00002167">
        <w:t xml:space="preserve">Turer, Robert W., Ian Jones, S. Trent Rosenbloom, Corey Slovis, and Michael J. Ward. "Electronic personal protective equipment: a strategy to protect emergency department providers in the age of COVID-19." </w:t>
      </w:r>
      <w:r w:rsidRPr="00002167">
        <w:rPr>
          <w:i/>
        </w:rPr>
        <w:t>Journal of the American Medical Informatics Association</w:t>
      </w:r>
      <w:r w:rsidRPr="00002167">
        <w:t xml:space="preserve"> 27, no. 6 (2020): 967-971.</w:t>
      </w:r>
    </w:p>
    <w:p w:rsidR="008F4FE6" w:rsidRPr="00002167" w:rsidRDefault="008F4FE6" w:rsidP="005533B9">
      <w:pPr>
        <w:numPr>
          <w:ilvl w:val="0"/>
          <w:numId w:val="1"/>
        </w:numPr>
        <w:ind w:left="504" w:hanging="504"/>
      </w:pPr>
      <w:r w:rsidRPr="00002167">
        <w:t xml:space="preserve">Santoro, Eugenio. "Information technology and digital health to support health in the time of CoViD-19." </w:t>
      </w:r>
      <w:r w:rsidRPr="00002167">
        <w:rPr>
          <w:i/>
        </w:rPr>
        <w:t>Recenti Progressi in Medicina</w:t>
      </w:r>
      <w:r w:rsidRPr="00002167">
        <w:t xml:space="preserve"> 111, no. 7 (2020): 393-397.</w:t>
      </w:r>
    </w:p>
    <w:p w:rsidR="008F4FE6" w:rsidRPr="00002167" w:rsidRDefault="008F4FE6" w:rsidP="005533B9">
      <w:pPr>
        <w:numPr>
          <w:ilvl w:val="0"/>
          <w:numId w:val="1"/>
        </w:numPr>
        <w:ind w:left="504" w:hanging="504"/>
      </w:pPr>
      <w:r w:rsidRPr="00002167">
        <w:t xml:space="preserve">Portnoy, Jay, Morgan Waller, and Tania Elliott. "Telemedicine in the era of COVID-19." </w:t>
      </w:r>
      <w:r w:rsidRPr="00002167">
        <w:rPr>
          <w:i/>
        </w:rPr>
        <w:t>The Journal of Allergy and Clinical Immunology: In Practice</w:t>
      </w:r>
      <w:r w:rsidRPr="00002167">
        <w:t xml:space="preserve"> 8, no. 5 (2020): 1489-1491.</w:t>
      </w:r>
    </w:p>
    <w:p w:rsidR="008F4FE6" w:rsidRPr="00002167" w:rsidRDefault="008F4FE6" w:rsidP="005533B9">
      <w:pPr>
        <w:numPr>
          <w:ilvl w:val="0"/>
          <w:numId w:val="1"/>
        </w:numPr>
        <w:ind w:left="504" w:hanging="504"/>
      </w:pPr>
      <w:r w:rsidRPr="00002167">
        <w:t xml:space="preserve">Centers for Disease Control and Prevention. "COVID-19 vaccinations in the United States." </w:t>
      </w:r>
      <w:r w:rsidRPr="00002167">
        <w:rPr>
          <w:i/>
        </w:rPr>
        <w:t>Centers for Disease Control and Prevention [Internet]</w:t>
      </w:r>
      <w:r w:rsidRPr="00002167">
        <w:t xml:space="preserve"> (2021): 1.</w:t>
      </w:r>
    </w:p>
    <w:p w:rsidR="008F4FE6" w:rsidRPr="00002167" w:rsidRDefault="008F4FE6" w:rsidP="005533B9">
      <w:pPr>
        <w:numPr>
          <w:ilvl w:val="0"/>
          <w:numId w:val="1"/>
        </w:numPr>
        <w:ind w:left="504" w:hanging="504"/>
        <w:rPr>
          <w:highlight w:val="white"/>
        </w:rPr>
      </w:pPr>
      <w:r w:rsidRPr="00002167">
        <w:rPr>
          <w:highlight w:val="white"/>
        </w:rPr>
        <w:t xml:space="preserve">Sharma, Richa, Lindsey R. Kuohn, Daniel M. Weinberger, Joshua L. Warren, Lauren H. Sansing, Adam Jasne, Guido Falcone, Amar Dhand, and Kevin N. Sheth. "Excess Cerebrovascular Mortality in the United States </w:t>
      </w:r>
      <w:r w:rsidR="00B12DB4" w:rsidRPr="00002167">
        <w:rPr>
          <w:highlight w:val="white"/>
        </w:rPr>
        <w:t>d</w:t>
      </w:r>
      <w:r w:rsidRPr="00002167">
        <w:rPr>
          <w:highlight w:val="white"/>
        </w:rPr>
        <w:t xml:space="preserve">uring the COVID-19 Pandemic." </w:t>
      </w:r>
      <w:r w:rsidRPr="00002167">
        <w:rPr>
          <w:i/>
        </w:rPr>
        <w:t>Stroke</w:t>
      </w:r>
      <w:r w:rsidRPr="00002167">
        <w:rPr>
          <w:highlight w:val="white"/>
        </w:rPr>
        <w:t xml:space="preserve"> (2020): 1-7.</w:t>
      </w:r>
    </w:p>
    <w:p w:rsidR="008F4FE6" w:rsidRPr="00002167" w:rsidRDefault="008F4FE6" w:rsidP="005533B9">
      <w:pPr>
        <w:numPr>
          <w:ilvl w:val="0"/>
          <w:numId w:val="1"/>
        </w:numPr>
        <w:ind w:left="504" w:hanging="504"/>
        <w:rPr>
          <w:highlight w:val="white"/>
        </w:rPr>
      </w:pPr>
      <w:r w:rsidRPr="00002167">
        <w:rPr>
          <w:highlight w:val="white"/>
        </w:rPr>
        <w:t xml:space="preserve">Ikenberg, Benno, Bernhard Hemmer, Michael Dommasch, Karl-Georg Kanz, Silke Wunderlich, and Benjamin Knier. "Code Stroke Patient Referral by Emergency Medical Services </w:t>
      </w:r>
      <w:r w:rsidR="00B12DB4" w:rsidRPr="00002167">
        <w:rPr>
          <w:highlight w:val="white"/>
        </w:rPr>
        <w:t>d</w:t>
      </w:r>
      <w:r w:rsidRPr="00002167">
        <w:rPr>
          <w:highlight w:val="white"/>
        </w:rPr>
        <w:t xml:space="preserve">uring the Public COVID-19 Pandemic Lockdown." </w:t>
      </w:r>
      <w:r w:rsidRPr="00002167">
        <w:rPr>
          <w:i/>
          <w:highlight w:val="white"/>
        </w:rPr>
        <w:t>Journal of Stroke and Cerebrovascular Diseases</w:t>
      </w:r>
      <w:r w:rsidRPr="00002167">
        <w:rPr>
          <w:highlight w:val="white"/>
        </w:rPr>
        <w:t xml:space="preserve"> 29, no. 11 (2020): 1-5.</w:t>
      </w:r>
    </w:p>
    <w:p w:rsidR="008F4FE6" w:rsidRPr="00002167" w:rsidRDefault="008F4FE6" w:rsidP="005533B9">
      <w:pPr>
        <w:numPr>
          <w:ilvl w:val="0"/>
          <w:numId w:val="1"/>
        </w:numPr>
        <w:ind w:left="504" w:hanging="504"/>
        <w:rPr>
          <w:highlight w:val="white"/>
        </w:rPr>
      </w:pPr>
      <w:r w:rsidRPr="00002167">
        <w:rPr>
          <w:highlight w:val="white"/>
        </w:rPr>
        <w:t>Goldberg, Scott A., Rebecca E. Cash, Gregory Peters, Scott G. Weiner, P. Gregg Greenough, and Raghu Seethala. "The Impact of COVID</w:t>
      </w:r>
      <w:r w:rsidRPr="00002167">
        <w:rPr>
          <w:rFonts w:ascii="Cambria Math" w:hAnsi="Cambria Math" w:cs="Cambria Math"/>
          <w:highlight w:val="white"/>
        </w:rPr>
        <w:t>‐</w:t>
      </w:r>
      <w:r w:rsidRPr="00002167">
        <w:rPr>
          <w:highlight w:val="white"/>
        </w:rPr>
        <w:t xml:space="preserve">19 on Statewide EMS Use for Cardiac Emergencies and Stroke in Massachusetts." </w:t>
      </w:r>
      <w:r w:rsidRPr="00002167">
        <w:rPr>
          <w:i/>
          <w:highlight w:val="white"/>
        </w:rPr>
        <w:t>Journal of the American College of Emergency Physicians Open</w:t>
      </w:r>
      <w:r w:rsidRPr="00002167">
        <w:rPr>
          <w:highlight w:val="white"/>
        </w:rPr>
        <w:t xml:space="preserve"> 2, no. 1 (2021): 1-7.</w:t>
      </w:r>
    </w:p>
    <w:p w:rsidR="008F4FE6" w:rsidRPr="00002167" w:rsidRDefault="008F4FE6" w:rsidP="005533B9">
      <w:pPr>
        <w:numPr>
          <w:ilvl w:val="0"/>
          <w:numId w:val="1"/>
        </w:numPr>
        <w:ind w:left="504" w:hanging="504"/>
        <w:rPr>
          <w:highlight w:val="white"/>
        </w:rPr>
      </w:pPr>
      <w:r w:rsidRPr="00002167">
        <w:rPr>
          <w:highlight w:val="white"/>
        </w:rPr>
        <w:t xml:space="preserve">Velasco, Cesar, Brandon Wattai, Scott Buchle, Alicia Richardson, Varun Padmanaban, Kathy J. Morrison, Raymond Reichwein, Ephraim Church, Scott D. Simon, and Kevin M. Cockroft. "Impact of COVID-19 Pandemic on the Incidence, Prehospital Evaluation, </w:t>
      </w:r>
      <w:r w:rsidRPr="00002167">
        <w:rPr>
          <w:highlight w:val="white"/>
        </w:rPr>
        <w:lastRenderedPageBreak/>
        <w:t xml:space="preserve">and Presentation of Ischemic Stroke at a Nonurban Comprehensive Stroke Center." </w:t>
      </w:r>
      <w:r w:rsidRPr="00002167">
        <w:rPr>
          <w:i/>
          <w:highlight w:val="white"/>
        </w:rPr>
        <w:t>Stroke Research and Treatment</w:t>
      </w:r>
      <w:r w:rsidRPr="00002167">
        <w:rPr>
          <w:highlight w:val="white"/>
        </w:rPr>
        <w:t xml:space="preserve"> 2021 (2021).</w:t>
      </w:r>
    </w:p>
    <w:p w:rsidR="008F4FE6" w:rsidRPr="00002167" w:rsidRDefault="008F4FE6" w:rsidP="00002167"/>
    <w:p w:rsidR="008F4FE6" w:rsidRPr="00002167" w:rsidRDefault="008F4FE6" w:rsidP="00002167">
      <w:pPr>
        <w:rPr>
          <w:i/>
        </w:rPr>
      </w:pPr>
      <w:r w:rsidRPr="00002167">
        <w:rPr>
          <w:i/>
        </w:rPr>
        <w:t>Reviewed by:</w:t>
      </w:r>
    </w:p>
    <w:p w:rsidR="008F4FE6" w:rsidRPr="00002167" w:rsidRDefault="008F4FE6" w:rsidP="00002167">
      <w:r w:rsidRPr="00002167">
        <w:t>Catherine Smith, NRP, ALS-I</w:t>
      </w:r>
    </w:p>
    <w:p w:rsidR="008F4FE6" w:rsidRPr="00002167" w:rsidRDefault="008F4FE6" w:rsidP="00002167">
      <w:r w:rsidRPr="00002167">
        <w:t>First Branch Ambulance, Chelsea, VT</w:t>
      </w:r>
    </w:p>
    <w:p w:rsidR="008F4FE6" w:rsidRPr="00002167" w:rsidRDefault="008F4FE6" w:rsidP="00002167"/>
    <w:p w:rsidR="008F4FE6" w:rsidRPr="00002167" w:rsidRDefault="008F4FE6" w:rsidP="00002167"/>
    <w:p w:rsidR="008F4FE6" w:rsidRPr="00002167" w:rsidRDefault="008F4FE6" w:rsidP="00002167">
      <w:r w:rsidRPr="00002167">
        <w:t>KD</w:t>
      </w:r>
    </w:p>
    <w:p w:rsidR="008F4FE6" w:rsidRPr="00002167" w:rsidRDefault="008F4FE6" w:rsidP="00002167"/>
    <w:p w:rsidR="008F4FE6" w:rsidRPr="00002167" w:rsidRDefault="008F4FE6" w:rsidP="00002167"/>
    <w:sectPr w:rsidR="008F4FE6" w:rsidRPr="00002167" w:rsidSect="0049542C">
      <w:headerReference w:type="even" r:id="rId8"/>
      <w:headerReference w:type="default" r:id="rId9"/>
      <w:footnotePr>
        <w:numRestart w:val="eachSect"/>
      </w:footnotePr>
      <w:type w:val="oddPage"/>
      <w:pgSz w:w="12240" w:h="15840" w:code="1"/>
      <w:pgMar w:top="2707" w:right="2794" w:bottom="2707" w:left="2794" w:header="2131" w:footer="249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74D" w:rsidRPr="00484BE2" w:rsidRDefault="000C674D">
      <w:pPr>
        <w:rPr>
          <w:sz w:val="20"/>
        </w:rPr>
      </w:pPr>
      <w:r w:rsidRPr="00484BE2">
        <w:rPr>
          <w:sz w:val="20"/>
        </w:rPr>
        <w:separator/>
      </w:r>
    </w:p>
  </w:endnote>
  <w:endnote w:type="continuationSeparator" w:id="0">
    <w:p w:rsidR="000C674D" w:rsidRPr="00484BE2" w:rsidRDefault="000C674D">
      <w:pPr>
        <w:rPr>
          <w:sz w:val="20"/>
        </w:rPr>
      </w:pPr>
      <w:r w:rsidRPr="00484BE2">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74D" w:rsidRPr="00484BE2" w:rsidRDefault="000C674D" w:rsidP="005111FC">
      <w:pPr>
        <w:ind w:firstLine="0"/>
        <w:rPr>
          <w:sz w:val="20"/>
        </w:rPr>
      </w:pPr>
      <w:r>
        <w:separator/>
      </w:r>
    </w:p>
  </w:footnote>
  <w:footnote w:type="continuationSeparator" w:id="0">
    <w:p w:rsidR="000C674D" w:rsidRPr="00484BE2" w:rsidRDefault="000C674D" w:rsidP="005111FC">
      <w:pPr>
        <w:ind w:firstLine="0"/>
        <w:rPr>
          <w:sz w:val="20"/>
        </w:rPr>
      </w:pPr>
      <w:r>
        <w:continuationSeparator/>
      </w:r>
    </w:p>
  </w:footnote>
  <w:footnote w:id="1">
    <w:p w:rsidR="00427964" w:rsidRDefault="00427964" w:rsidP="00427964">
      <w:pPr>
        <w:pStyle w:val="Footnote"/>
      </w:pPr>
      <w:r w:rsidRPr="00427964">
        <w:rPr>
          <w:rStyle w:val="FootnoteReference"/>
        </w:rPr>
        <w:sym w:font="Symbol" w:char="F02A"/>
      </w:r>
      <w:r>
        <w:t xml:space="preserve"> Corresponding Author’s Email: cventura@wearehames.com.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01" w:rsidRPr="005111FC" w:rsidRDefault="00447CEF" w:rsidP="00CD1A60">
    <w:pPr>
      <w:pStyle w:val="Header"/>
      <w:framePr w:wrap="around" w:vAnchor="text" w:hAnchor="margin" w:xAlign="outside" w:y="1"/>
      <w:rPr>
        <w:rStyle w:val="PageNumber"/>
        <w:i w:val="0"/>
      </w:rPr>
    </w:pPr>
    <w:r w:rsidRPr="005111FC">
      <w:rPr>
        <w:rStyle w:val="PageNumber"/>
        <w:i w:val="0"/>
      </w:rPr>
      <w:fldChar w:fldCharType="begin"/>
    </w:r>
    <w:r w:rsidR="00A60501" w:rsidRPr="005111FC">
      <w:rPr>
        <w:rStyle w:val="PageNumber"/>
        <w:i w:val="0"/>
      </w:rPr>
      <w:instrText xml:space="preserve">PAGE  </w:instrText>
    </w:r>
    <w:r w:rsidRPr="005111FC">
      <w:rPr>
        <w:rStyle w:val="PageNumber"/>
        <w:i w:val="0"/>
      </w:rPr>
      <w:fldChar w:fldCharType="separate"/>
    </w:r>
    <w:r w:rsidR="00DB5064">
      <w:rPr>
        <w:rStyle w:val="PageNumber"/>
        <w:i w:val="0"/>
        <w:noProof/>
      </w:rPr>
      <w:t>14</w:t>
    </w:r>
    <w:r w:rsidRPr="005111FC">
      <w:rPr>
        <w:rStyle w:val="PageNumber"/>
        <w:i w:val="0"/>
      </w:rPr>
      <w:fldChar w:fldCharType="end"/>
    </w:r>
  </w:p>
  <w:p w:rsidR="00A60501" w:rsidRPr="00B12DB4" w:rsidRDefault="00B12DB4" w:rsidP="00B12DB4">
    <w:pPr>
      <w:pStyle w:val="Header"/>
    </w:pPr>
    <w:r w:rsidRPr="00B12DB4">
      <w:t>Matthew Barreto, Amber W. Chan and Christian A. Ventura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01" w:rsidRPr="005111FC" w:rsidRDefault="00447CEF" w:rsidP="00A60501">
    <w:pPr>
      <w:pStyle w:val="Header"/>
      <w:framePr w:wrap="around" w:vAnchor="text" w:hAnchor="margin" w:xAlign="outside" w:y="1"/>
      <w:rPr>
        <w:rStyle w:val="PageNumber"/>
        <w:i w:val="0"/>
      </w:rPr>
    </w:pPr>
    <w:r w:rsidRPr="005111FC">
      <w:rPr>
        <w:rStyle w:val="PageNumber"/>
        <w:i w:val="0"/>
      </w:rPr>
      <w:fldChar w:fldCharType="begin"/>
    </w:r>
    <w:r w:rsidR="00A60501" w:rsidRPr="005111FC">
      <w:rPr>
        <w:rStyle w:val="PageNumber"/>
        <w:i w:val="0"/>
      </w:rPr>
      <w:instrText xml:space="preserve">PAGE  </w:instrText>
    </w:r>
    <w:r w:rsidRPr="005111FC">
      <w:rPr>
        <w:rStyle w:val="PageNumber"/>
        <w:i w:val="0"/>
      </w:rPr>
      <w:fldChar w:fldCharType="separate"/>
    </w:r>
    <w:r w:rsidR="00DB5064">
      <w:rPr>
        <w:rStyle w:val="PageNumber"/>
        <w:i w:val="0"/>
        <w:noProof/>
      </w:rPr>
      <w:t>15</w:t>
    </w:r>
    <w:r w:rsidRPr="005111FC">
      <w:rPr>
        <w:rStyle w:val="PageNumber"/>
        <w:i w:val="0"/>
      </w:rPr>
      <w:fldChar w:fldCharType="end"/>
    </w:r>
  </w:p>
  <w:p w:rsidR="00F33611" w:rsidRPr="005111FC" w:rsidRDefault="00B12DB4" w:rsidP="005111FC">
    <w:pPr>
      <w:pStyle w:val="Header"/>
      <w:rPr>
        <w:rStyle w:val="hps"/>
      </w:rPr>
    </w:pPr>
    <w:r w:rsidRPr="00002167">
      <w:t>EMS Pandemic Response in the United States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56471"/>
    <w:multiLevelType w:val="hybridMultilevel"/>
    <w:tmpl w:val="0616D334"/>
    <w:lvl w:ilvl="0" w:tplc="14681D64">
      <w:start w:val="1"/>
      <w:numFmt w:val="decimal"/>
      <w:lvlText w:val="[%1]"/>
      <w:lvlJc w:val="left"/>
      <w:pPr>
        <w:ind w:left="1080" w:hanging="360"/>
      </w:pPr>
      <w:rPr>
        <w:rFonts w:ascii="Helvetica" w:hAnsi="Helvetica" w:cs="Helvetica"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hideSpellingErrors/>
  <w:activeWritingStyle w:appName="MSWord" w:lang="en-US" w:vendorID="8" w:dllVersion="513" w:checkStyle="1"/>
  <w:activeWritingStyle w:appName="MSWord" w:lang="en-GB" w:vendorID="8" w:dllVersion="513" w:checkStyle="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D77"/>
    <w:rsid w:val="0000026F"/>
    <w:rsid w:val="00002167"/>
    <w:rsid w:val="00003162"/>
    <w:rsid w:val="0000346D"/>
    <w:rsid w:val="000424D2"/>
    <w:rsid w:val="00051736"/>
    <w:rsid w:val="00054CD8"/>
    <w:rsid w:val="00060F8C"/>
    <w:rsid w:val="000652AC"/>
    <w:rsid w:val="000672E3"/>
    <w:rsid w:val="00074320"/>
    <w:rsid w:val="0008411B"/>
    <w:rsid w:val="00086ACB"/>
    <w:rsid w:val="000A4F2C"/>
    <w:rsid w:val="000A5BC0"/>
    <w:rsid w:val="000B7C09"/>
    <w:rsid w:val="000C674D"/>
    <w:rsid w:val="000E369F"/>
    <w:rsid w:val="000E436D"/>
    <w:rsid w:val="000E53CC"/>
    <w:rsid w:val="000F7C64"/>
    <w:rsid w:val="001064F2"/>
    <w:rsid w:val="00122AF1"/>
    <w:rsid w:val="00143A9D"/>
    <w:rsid w:val="00144844"/>
    <w:rsid w:val="00151BA2"/>
    <w:rsid w:val="001524AA"/>
    <w:rsid w:val="00157CC3"/>
    <w:rsid w:val="00192526"/>
    <w:rsid w:val="00193C0E"/>
    <w:rsid w:val="001A3EFB"/>
    <w:rsid w:val="001B7EDD"/>
    <w:rsid w:val="001F2621"/>
    <w:rsid w:val="002203DE"/>
    <w:rsid w:val="00260899"/>
    <w:rsid w:val="00276574"/>
    <w:rsid w:val="00282A63"/>
    <w:rsid w:val="00287451"/>
    <w:rsid w:val="00291634"/>
    <w:rsid w:val="00294049"/>
    <w:rsid w:val="0029491C"/>
    <w:rsid w:val="002A29F7"/>
    <w:rsid w:val="002B28E8"/>
    <w:rsid w:val="002C538F"/>
    <w:rsid w:val="002C7AE1"/>
    <w:rsid w:val="002E7C00"/>
    <w:rsid w:val="003047B1"/>
    <w:rsid w:val="00310964"/>
    <w:rsid w:val="003427C0"/>
    <w:rsid w:val="00345F6A"/>
    <w:rsid w:val="00346F90"/>
    <w:rsid w:val="003629DC"/>
    <w:rsid w:val="00374726"/>
    <w:rsid w:val="0039354F"/>
    <w:rsid w:val="003943D6"/>
    <w:rsid w:val="00394B60"/>
    <w:rsid w:val="003C2666"/>
    <w:rsid w:val="003C634D"/>
    <w:rsid w:val="003D490D"/>
    <w:rsid w:val="003E1509"/>
    <w:rsid w:val="003E4BB6"/>
    <w:rsid w:val="003F0194"/>
    <w:rsid w:val="003F01F0"/>
    <w:rsid w:val="003F522D"/>
    <w:rsid w:val="0040781C"/>
    <w:rsid w:val="00422336"/>
    <w:rsid w:val="00427964"/>
    <w:rsid w:val="00443CFF"/>
    <w:rsid w:val="00444754"/>
    <w:rsid w:val="00447CEF"/>
    <w:rsid w:val="004505A6"/>
    <w:rsid w:val="00450B90"/>
    <w:rsid w:val="00477042"/>
    <w:rsid w:val="00482DB3"/>
    <w:rsid w:val="00484BE2"/>
    <w:rsid w:val="00490A04"/>
    <w:rsid w:val="00493B24"/>
    <w:rsid w:val="0049542C"/>
    <w:rsid w:val="004C6E3A"/>
    <w:rsid w:val="005111FC"/>
    <w:rsid w:val="0051481A"/>
    <w:rsid w:val="0051618E"/>
    <w:rsid w:val="00542689"/>
    <w:rsid w:val="005503C5"/>
    <w:rsid w:val="005533B9"/>
    <w:rsid w:val="00561550"/>
    <w:rsid w:val="005B648C"/>
    <w:rsid w:val="005C303F"/>
    <w:rsid w:val="005E00CA"/>
    <w:rsid w:val="005E317E"/>
    <w:rsid w:val="005E4CA3"/>
    <w:rsid w:val="005F06A3"/>
    <w:rsid w:val="005F59DC"/>
    <w:rsid w:val="0060074F"/>
    <w:rsid w:val="006410BB"/>
    <w:rsid w:val="0064456F"/>
    <w:rsid w:val="00651278"/>
    <w:rsid w:val="006619A3"/>
    <w:rsid w:val="00674EAD"/>
    <w:rsid w:val="00682CC3"/>
    <w:rsid w:val="00693E8E"/>
    <w:rsid w:val="00696FCC"/>
    <w:rsid w:val="006C5B5D"/>
    <w:rsid w:val="006D3641"/>
    <w:rsid w:val="006D76C5"/>
    <w:rsid w:val="006E0AE6"/>
    <w:rsid w:val="006F3825"/>
    <w:rsid w:val="006F46B9"/>
    <w:rsid w:val="006F75D5"/>
    <w:rsid w:val="00704BFB"/>
    <w:rsid w:val="0070578F"/>
    <w:rsid w:val="00725483"/>
    <w:rsid w:val="00736864"/>
    <w:rsid w:val="00742C88"/>
    <w:rsid w:val="00746B81"/>
    <w:rsid w:val="00784FC5"/>
    <w:rsid w:val="00785AF5"/>
    <w:rsid w:val="007A5997"/>
    <w:rsid w:val="007A69C9"/>
    <w:rsid w:val="007B0301"/>
    <w:rsid w:val="007C4F92"/>
    <w:rsid w:val="007D05A5"/>
    <w:rsid w:val="007D10AE"/>
    <w:rsid w:val="007F697A"/>
    <w:rsid w:val="00802ED7"/>
    <w:rsid w:val="008060DD"/>
    <w:rsid w:val="00814F8F"/>
    <w:rsid w:val="00831163"/>
    <w:rsid w:val="00852656"/>
    <w:rsid w:val="008572D3"/>
    <w:rsid w:val="00884AA2"/>
    <w:rsid w:val="00892053"/>
    <w:rsid w:val="008960D2"/>
    <w:rsid w:val="008C3907"/>
    <w:rsid w:val="008D0CCD"/>
    <w:rsid w:val="008E0A72"/>
    <w:rsid w:val="008E2404"/>
    <w:rsid w:val="008F2E01"/>
    <w:rsid w:val="008F4FE6"/>
    <w:rsid w:val="008F7801"/>
    <w:rsid w:val="009042E1"/>
    <w:rsid w:val="00907B4C"/>
    <w:rsid w:val="00916692"/>
    <w:rsid w:val="009334CC"/>
    <w:rsid w:val="009A6A62"/>
    <w:rsid w:val="009C26F4"/>
    <w:rsid w:val="009C4A28"/>
    <w:rsid w:val="009E19DA"/>
    <w:rsid w:val="009E72AB"/>
    <w:rsid w:val="009E72FB"/>
    <w:rsid w:val="009F1CA7"/>
    <w:rsid w:val="00A0358F"/>
    <w:rsid w:val="00A05E0D"/>
    <w:rsid w:val="00A075F9"/>
    <w:rsid w:val="00A11D4F"/>
    <w:rsid w:val="00A138DA"/>
    <w:rsid w:val="00A14341"/>
    <w:rsid w:val="00A25411"/>
    <w:rsid w:val="00A270ED"/>
    <w:rsid w:val="00A528BE"/>
    <w:rsid w:val="00A60501"/>
    <w:rsid w:val="00A6289E"/>
    <w:rsid w:val="00A778E3"/>
    <w:rsid w:val="00AE6B68"/>
    <w:rsid w:val="00AF238C"/>
    <w:rsid w:val="00AF4BC8"/>
    <w:rsid w:val="00B04B3A"/>
    <w:rsid w:val="00B12DB4"/>
    <w:rsid w:val="00B44351"/>
    <w:rsid w:val="00B46C4B"/>
    <w:rsid w:val="00B50A75"/>
    <w:rsid w:val="00B554B8"/>
    <w:rsid w:val="00B61891"/>
    <w:rsid w:val="00B73683"/>
    <w:rsid w:val="00B7664D"/>
    <w:rsid w:val="00BB1BD9"/>
    <w:rsid w:val="00BB1DB9"/>
    <w:rsid w:val="00BC3010"/>
    <w:rsid w:val="00BD4F99"/>
    <w:rsid w:val="00C122A7"/>
    <w:rsid w:val="00C178CC"/>
    <w:rsid w:val="00C2575F"/>
    <w:rsid w:val="00C34FA1"/>
    <w:rsid w:val="00C44C9E"/>
    <w:rsid w:val="00C64876"/>
    <w:rsid w:val="00C65555"/>
    <w:rsid w:val="00CC5D77"/>
    <w:rsid w:val="00CD1A60"/>
    <w:rsid w:val="00CE7521"/>
    <w:rsid w:val="00D0449D"/>
    <w:rsid w:val="00D051C9"/>
    <w:rsid w:val="00D13204"/>
    <w:rsid w:val="00D13733"/>
    <w:rsid w:val="00D44271"/>
    <w:rsid w:val="00D80164"/>
    <w:rsid w:val="00D848EE"/>
    <w:rsid w:val="00D95BB0"/>
    <w:rsid w:val="00DB5064"/>
    <w:rsid w:val="00DB7B93"/>
    <w:rsid w:val="00DC7F43"/>
    <w:rsid w:val="00DD075E"/>
    <w:rsid w:val="00DE1644"/>
    <w:rsid w:val="00DF3CF2"/>
    <w:rsid w:val="00DF4957"/>
    <w:rsid w:val="00DF7926"/>
    <w:rsid w:val="00E03415"/>
    <w:rsid w:val="00E034B4"/>
    <w:rsid w:val="00E235DB"/>
    <w:rsid w:val="00E26BCB"/>
    <w:rsid w:val="00E44FDA"/>
    <w:rsid w:val="00E609E5"/>
    <w:rsid w:val="00E74238"/>
    <w:rsid w:val="00E81E3F"/>
    <w:rsid w:val="00E92799"/>
    <w:rsid w:val="00EA0AF7"/>
    <w:rsid w:val="00EA2C7D"/>
    <w:rsid w:val="00EB60EF"/>
    <w:rsid w:val="00EC5B12"/>
    <w:rsid w:val="00EC7323"/>
    <w:rsid w:val="00EE1A9D"/>
    <w:rsid w:val="00F24B92"/>
    <w:rsid w:val="00F33611"/>
    <w:rsid w:val="00F37C05"/>
    <w:rsid w:val="00F44F3D"/>
    <w:rsid w:val="00F613E6"/>
    <w:rsid w:val="00F6175D"/>
    <w:rsid w:val="00F64E98"/>
    <w:rsid w:val="00F868E4"/>
    <w:rsid w:val="00F96D19"/>
    <w:rsid w:val="00FA5C9A"/>
    <w:rsid w:val="00FB2CAF"/>
    <w:rsid w:val="00FE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E64FEC-352B-4B7B-8046-00BD6F48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lsdException w:name="heading 8" w:uiPriority="0"/>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FA1"/>
    <w:pPr>
      <w:spacing w:line="276" w:lineRule="auto"/>
      <w:ind w:firstLine="360"/>
      <w:jc w:val="both"/>
    </w:pPr>
    <w:rPr>
      <w:rFonts w:ascii="Helvetica" w:hAnsi="Helvetica"/>
      <w:sz w:val="21"/>
    </w:rPr>
  </w:style>
  <w:style w:type="paragraph" w:styleId="Heading1">
    <w:name w:val="heading 1"/>
    <w:basedOn w:val="Normal"/>
    <w:next w:val="Normal"/>
    <w:link w:val="Heading1Char"/>
    <w:uiPriority w:val="9"/>
    <w:qFormat/>
    <w:rsid w:val="00CD1A60"/>
    <w:pPr>
      <w:keepNext/>
      <w:ind w:firstLine="0"/>
      <w:jc w:val="center"/>
      <w:outlineLvl w:val="0"/>
    </w:pPr>
    <w:rPr>
      <w:b/>
      <w:smallCaps/>
      <w:kern w:val="28"/>
      <w:sz w:val="36"/>
    </w:rPr>
  </w:style>
  <w:style w:type="paragraph" w:styleId="Heading2">
    <w:name w:val="heading 2"/>
    <w:basedOn w:val="Normal"/>
    <w:next w:val="Normal"/>
    <w:link w:val="Heading2Char"/>
    <w:qFormat/>
    <w:rsid w:val="00CD1A60"/>
    <w:pPr>
      <w:keepNext/>
      <w:ind w:firstLine="0"/>
      <w:jc w:val="center"/>
      <w:outlineLvl w:val="1"/>
    </w:pPr>
    <w:rPr>
      <w:b/>
      <w:smallCaps/>
      <w:sz w:val="28"/>
      <w:lang w:val="fr-FR"/>
    </w:rPr>
  </w:style>
  <w:style w:type="paragraph" w:styleId="Heading3">
    <w:name w:val="heading 3"/>
    <w:basedOn w:val="Normal"/>
    <w:next w:val="Normal"/>
    <w:link w:val="Heading3Char"/>
    <w:qFormat/>
    <w:rsid w:val="00CD1A60"/>
    <w:pPr>
      <w:keepNext/>
      <w:ind w:firstLine="0"/>
      <w:jc w:val="left"/>
      <w:outlineLvl w:val="2"/>
    </w:pPr>
    <w:rPr>
      <w:b/>
      <w:sz w:val="24"/>
    </w:rPr>
  </w:style>
  <w:style w:type="paragraph" w:styleId="Heading4">
    <w:name w:val="heading 4"/>
    <w:basedOn w:val="Normal"/>
    <w:next w:val="Normal"/>
    <w:link w:val="Heading4Char"/>
    <w:uiPriority w:val="9"/>
    <w:qFormat/>
    <w:rsid w:val="00CD1A60"/>
    <w:pPr>
      <w:keepNext/>
      <w:ind w:firstLine="0"/>
      <w:outlineLvl w:val="3"/>
    </w:pPr>
    <w:rPr>
      <w:b/>
      <w:i/>
      <w:sz w:val="22"/>
      <w:lang w:val="fr-FR"/>
    </w:rPr>
  </w:style>
  <w:style w:type="paragraph" w:styleId="Heading5">
    <w:name w:val="heading 5"/>
    <w:basedOn w:val="Normal"/>
    <w:next w:val="Normal"/>
    <w:qFormat/>
    <w:rsid w:val="00310964"/>
    <w:pPr>
      <w:keepNext/>
      <w:ind w:firstLine="0"/>
      <w:outlineLvl w:val="4"/>
    </w:pPr>
    <w:rPr>
      <w:b/>
      <w:sz w:val="22"/>
    </w:rPr>
  </w:style>
  <w:style w:type="paragraph" w:styleId="Heading6">
    <w:name w:val="heading 6"/>
    <w:basedOn w:val="Normal"/>
    <w:next w:val="Normal"/>
    <w:qFormat/>
    <w:rsid w:val="00310964"/>
    <w:pPr>
      <w:keepNext/>
      <w:tabs>
        <w:tab w:val="left" w:pos="9540"/>
      </w:tabs>
      <w:ind w:firstLine="0"/>
      <w:outlineLvl w:val="5"/>
    </w:pPr>
    <w:rPr>
      <w:i/>
      <w:color w:val="000000"/>
      <w:sz w:val="22"/>
    </w:rPr>
  </w:style>
  <w:style w:type="paragraph" w:styleId="Heading7">
    <w:name w:val="heading 7"/>
    <w:basedOn w:val="Normal"/>
    <w:next w:val="Normal"/>
    <w:rsid w:val="00310964"/>
    <w:pPr>
      <w:spacing w:before="240" w:after="60" w:line="240" w:lineRule="auto"/>
      <w:ind w:firstLine="0"/>
      <w:jc w:val="left"/>
      <w:outlineLvl w:val="6"/>
    </w:pPr>
    <w:rPr>
      <w:rFonts w:eastAsia="SimSun"/>
      <w:sz w:val="24"/>
      <w:lang w:eastAsia="zh-CN"/>
    </w:rPr>
  </w:style>
  <w:style w:type="paragraph" w:styleId="Heading8">
    <w:name w:val="heading 8"/>
    <w:basedOn w:val="Normal"/>
    <w:next w:val="Normal"/>
    <w:rsid w:val="00310964"/>
    <w:pPr>
      <w:keepNext/>
      <w:outlineLvl w:val="7"/>
    </w:pPr>
    <w:rPr>
      <w:b/>
      <w:sz w:val="22"/>
    </w:rPr>
  </w:style>
  <w:style w:type="paragraph" w:styleId="Heading9">
    <w:name w:val="heading 9"/>
    <w:basedOn w:val="Normal"/>
    <w:next w:val="Normal"/>
    <w:rsid w:val="00310964"/>
    <w:pPr>
      <w:keepNext/>
      <w:outlineLvl w:val="8"/>
    </w:pPr>
    <w:rPr>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1A60"/>
    <w:rPr>
      <w:rFonts w:ascii="Helvetica" w:hAnsi="Helvetica"/>
      <w:b/>
      <w:smallCaps/>
      <w:kern w:val="28"/>
      <w:sz w:val="36"/>
    </w:rPr>
  </w:style>
  <w:style w:type="character" w:customStyle="1" w:styleId="Heading2Char">
    <w:name w:val="Heading 2 Char"/>
    <w:link w:val="Heading2"/>
    <w:rsid w:val="00CD1A60"/>
    <w:rPr>
      <w:rFonts w:ascii="Helvetica" w:hAnsi="Helvetica"/>
      <w:b/>
      <w:smallCaps/>
      <w:sz w:val="28"/>
      <w:lang w:val="fr-FR"/>
    </w:rPr>
  </w:style>
  <w:style w:type="character" w:customStyle="1" w:styleId="Heading3Char">
    <w:name w:val="Heading 3 Char"/>
    <w:link w:val="Heading3"/>
    <w:rsid w:val="00CD1A60"/>
    <w:rPr>
      <w:rFonts w:ascii="Helvetica" w:hAnsi="Helvetica"/>
      <w:b/>
      <w:sz w:val="24"/>
    </w:rPr>
  </w:style>
  <w:style w:type="paragraph" w:customStyle="1" w:styleId="ChapterNumber">
    <w:name w:val="Chapter Number"/>
    <w:qFormat/>
    <w:rsid w:val="00C34FA1"/>
    <w:pPr>
      <w:spacing w:line="264" w:lineRule="auto"/>
    </w:pPr>
    <w:rPr>
      <w:rFonts w:ascii="Helvetica" w:hAnsi="Helvetica"/>
      <w:b/>
      <w:i/>
      <w:noProof/>
      <w:sz w:val="22"/>
    </w:rPr>
  </w:style>
  <w:style w:type="paragraph" w:customStyle="1" w:styleId="FirstPageAuthor">
    <w:name w:val="First Page Author"/>
    <w:basedOn w:val="Footnote"/>
    <w:qFormat/>
    <w:rsid w:val="00444754"/>
    <w:pPr>
      <w:spacing w:line="276" w:lineRule="auto"/>
      <w:ind w:left="0" w:firstLine="0"/>
      <w:jc w:val="center"/>
    </w:pPr>
    <w:rPr>
      <w:b/>
      <w:i/>
      <w:noProof/>
      <w:sz w:val="28"/>
    </w:rPr>
  </w:style>
  <w:style w:type="paragraph" w:customStyle="1" w:styleId="FirstPageAffiliation">
    <w:name w:val="First Page Affiliation"/>
    <w:qFormat/>
    <w:rsid w:val="00CD1A60"/>
    <w:pPr>
      <w:spacing w:line="276" w:lineRule="auto"/>
      <w:jc w:val="center"/>
    </w:pPr>
    <w:rPr>
      <w:rFonts w:ascii="Helvetica" w:hAnsi="Helvetica"/>
      <w:noProof/>
      <w:sz w:val="22"/>
    </w:rPr>
  </w:style>
  <w:style w:type="paragraph" w:customStyle="1" w:styleId="RunningHead">
    <w:name w:val="Running Head"/>
    <w:rsid w:val="00A138DA"/>
    <w:pPr>
      <w:pBdr>
        <w:bottom w:val="single" w:sz="6" w:space="1" w:color="auto"/>
      </w:pBdr>
      <w:spacing w:line="264" w:lineRule="auto"/>
      <w:jc w:val="center"/>
    </w:pPr>
    <w:rPr>
      <w:noProof/>
      <w:sz w:val="21"/>
    </w:rPr>
  </w:style>
  <w:style w:type="paragraph" w:customStyle="1" w:styleId="TableCaptions">
    <w:name w:val="Table Captions"/>
    <w:basedOn w:val="Normal"/>
    <w:qFormat/>
    <w:rsid w:val="00C34FA1"/>
    <w:pPr>
      <w:ind w:firstLine="0"/>
      <w:jc w:val="center"/>
    </w:pPr>
    <w:rPr>
      <w:rFonts w:eastAsia="SimSun"/>
      <w:b/>
      <w:szCs w:val="21"/>
    </w:rPr>
  </w:style>
  <w:style w:type="paragraph" w:styleId="Header">
    <w:name w:val="header"/>
    <w:basedOn w:val="Normal"/>
    <w:link w:val="HeaderChar"/>
    <w:qFormat/>
    <w:rsid w:val="005111FC"/>
    <w:pPr>
      <w:tabs>
        <w:tab w:val="center" w:pos="4320"/>
        <w:tab w:val="right" w:pos="8640"/>
      </w:tabs>
      <w:ind w:firstLine="0"/>
      <w:jc w:val="center"/>
    </w:pPr>
    <w:rPr>
      <w:i/>
      <w:szCs w:val="21"/>
    </w:rPr>
  </w:style>
  <w:style w:type="character" w:customStyle="1" w:styleId="HeaderChar">
    <w:name w:val="Header Char"/>
    <w:link w:val="Header"/>
    <w:rsid w:val="005111FC"/>
    <w:rPr>
      <w:rFonts w:ascii="Helvetica" w:hAnsi="Helvetica"/>
      <w:i/>
      <w:sz w:val="21"/>
      <w:szCs w:val="21"/>
    </w:rPr>
  </w:style>
  <w:style w:type="paragraph" w:styleId="FootnoteText">
    <w:name w:val="footnote text"/>
    <w:basedOn w:val="Normal"/>
    <w:semiHidden/>
    <w:rsid w:val="00310964"/>
    <w:pPr>
      <w:spacing w:line="240" w:lineRule="auto"/>
      <w:ind w:left="187" w:hanging="187"/>
    </w:pPr>
    <w:rPr>
      <w:sz w:val="17"/>
    </w:rPr>
  </w:style>
  <w:style w:type="paragraph" w:customStyle="1" w:styleId="Source">
    <w:name w:val="Source"/>
    <w:basedOn w:val="Normal"/>
    <w:qFormat/>
    <w:rsid w:val="00310964"/>
    <w:pPr>
      <w:ind w:left="360" w:hanging="360"/>
    </w:pPr>
    <w:rPr>
      <w:sz w:val="19"/>
    </w:rPr>
  </w:style>
  <w:style w:type="paragraph" w:customStyle="1" w:styleId="table">
    <w:name w:val="table"/>
    <w:basedOn w:val="Normal"/>
    <w:rsid w:val="00310964"/>
    <w:pPr>
      <w:ind w:firstLine="0"/>
      <w:jc w:val="left"/>
    </w:pPr>
    <w:rPr>
      <w:sz w:val="20"/>
    </w:rPr>
  </w:style>
  <w:style w:type="character" w:styleId="FootnoteReference">
    <w:name w:val="footnote reference"/>
    <w:semiHidden/>
    <w:rsid w:val="00310964"/>
    <w:rPr>
      <w:rFonts w:ascii="Times New Roman" w:hAnsi="Times New Roman"/>
      <w:position w:val="0"/>
      <w:sz w:val="21"/>
      <w:vertAlign w:val="superscript"/>
    </w:rPr>
  </w:style>
  <w:style w:type="character" w:styleId="Hyperlink">
    <w:name w:val="Hyperlink"/>
    <w:uiPriority w:val="99"/>
    <w:rsid w:val="00310964"/>
    <w:rPr>
      <w:color w:val="0000FF"/>
      <w:u w:val="single"/>
    </w:rPr>
  </w:style>
  <w:style w:type="paragraph" w:customStyle="1" w:styleId="Abstract">
    <w:name w:val="Abstract"/>
    <w:basedOn w:val="Normal"/>
    <w:link w:val="AbstractChar"/>
    <w:qFormat/>
    <w:rsid w:val="00E03415"/>
    <w:pPr>
      <w:spacing w:line="240" w:lineRule="auto"/>
      <w:ind w:left="360" w:right="360"/>
    </w:pPr>
    <w:rPr>
      <w:sz w:val="20"/>
    </w:rPr>
  </w:style>
  <w:style w:type="paragraph" w:customStyle="1" w:styleId="quota">
    <w:name w:val="quota"/>
    <w:basedOn w:val="Normal"/>
    <w:qFormat/>
    <w:rsid w:val="00310964"/>
    <w:pPr>
      <w:ind w:left="360" w:right="360"/>
    </w:pPr>
    <w:rPr>
      <w:sz w:val="19"/>
    </w:rPr>
  </w:style>
  <w:style w:type="character" w:styleId="PageNumber">
    <w:name w:val="page number"/>
    <w:rsid w:val="00C34FA1"/>
    <w:rPr>
      <w:rFonts w:ascii="Helvetica" w:hAnsi="Helvetica"/>
      <w:sz w:val="21"/>
    </w:rPr>
  </w:style>
  <w:style w:type="character" w:styleId="EndnoteReference">
    <w:name w:val="endnote reference"/>
    <w:semiHidden/>
    <w:rsid w:val="00310964"/>
    <w:rPr>
      <w:vertAlign w:val="superscript"/>
    </w:rPr>
  </w:style>
  <w:style w:type="paragraph" w:styleId="Index1">
    <w:name w:val="index 1"/>
    <w:basedOn w:val="Normal"/>
    <w:next w:val="Normal"/>
    <w:autoRedefine/>
    <w:semiHidden/>
    <w:rsid w:val="00310964"/>
    <w:pPr>
      <w:spacing w:line="240" w:lineRule="auto"/>
      <w:ind w:left="240" w:hanging="240"/>
      <w:jc w:val="left"/>
    </w:pPr>
    <w:rPr>
      <w:rFonts w:ascii="Times" w:eastAsia="SimSun" w:hAnsi="Times"/>
      <w:sz w:val="20"/>
      <w:lang w:eastAsia="zh-CN"/>
    </w:rPr>
  </w:style>
  <w:style w:type="paragraph" w:styleId="IndexHeading">
    <w:name w:val="index heading"/>
    <w:basedOn w:val="Normal"/>
    <w:next w:val="Index1"/>
    <w:semiHidden/>
    <w:rsid w:val="00310964"/>
    <w:pPr>
      <w:spacing w:before="120" w:after="120" w:line="240" w:lineRule="auto"/>
      <w:ind w:firstLine="0"/>
      <w:jc w:val="left"/>
    </w:pPr>
    <w:rPr>
      <w:rFonts w:ascii="Times" w:eastAsia="SimSun" w:hAnsi="Times"/>
      <w:b/>
      <w:i/>
      <w:sz w:val="20"/>
      <w:lang w:eastAsia="zh-CN"/>
    </w:rPr>
  </w:style>
  <w:style w:type="paragraph" w:styleId="TOC3">
    <w:name w:val="toc 3"/>
    <w:basedOn w:val="Normal"/>
    <w:next w:val="Normal"/>
    <w:autoRedefine/>
    <w:semiHidden/>
    <w:rsid w:val="006410BB"/>
    <w:pPr>
      <w:spacing w:line="240" w:lineRule="auto"/>
      <w:ind w:left="720" w:right="720" w:hanging="360"/>
      <w:jc w:val="left"/>
    </w:pPr>
    <w:rPr>
      <w:i/>
      <w:iCs/>
      <w:snapToGrid w:val="0"/>
      <w:sz w:val="22"/>
      <w:szCs w:val="22"/>
    </w:rPr>
  </w:style>
  <w:style w:type="paragraph" w:styleId="BalloonText">
    <w:name w:val="Balloon Text"/>
    <w:basedOn w:val="Normal"/>
    <w:semiHidden/>
    <w:rsid w:val="00310964"/>
    <w:pPr>
      <w:spacing w:line="240" w:lineRule="auto"/>
      <w:ind w:firstLine="0"/>
      <w:jc w:val="left"/>
    </w:pPr>
    <w:rPr>
      <w:rFonts w:ascii="Tahoma" w:hAnsi="Tahoma"/>
      <w:sz w:val="16"/>
    </w:rPr>
  </w:style>
  <w:style w:type="paragraph" w:customStyle="1" w:styleId="Figurecaption">
    <w:name w:val="Figure caption"/>
    <w:basedOn w:val="Normal"/>
    <w:link w:val="FigurecaptionChar"/>
    <w:qFormat/>
    <w:rsid w:val="00A138DA"/>
    <w:pPr>
      <w:spacing w:before="200" w:after="200" w:line="240" w:lineRule="auto"/>
      <w:ind w:firstLine="0"/>
      <w:jc w:val="left"/>
    </w:pPr>
    <w:rPr>
      <w:sz w:val="19"/>
      <w:lang w:val="x-none" w:eastAsia="x-none"/>
    </w:rPr>
  </w:style>
  <w:style w:type="character" w:customStyle="1" w:styleId="FigurecaptionChar">
    <w:name w:val="Figure caption Char"/>
    <w:link w:val="Figurecaption"/>
    <w:rsid w:val="00A138DA"/>
    <w:rPr>
      <w:sz w:val="19"/>
    </w:rPr>
  </w:style>
  <w:style w:type="paragraph" w:customStyle="1" w:styleId="Footnote">
    <w:name w:val="Footnote"/>
    <w:basedOn w:val="Normal"/>
    <w:qFormat/>
    <w:rsid w:val="00CD1A60"/>
    <w:pPr>
      <w:spacing w:line="240" w:lineRule="auto"/>
      <w:ind w:left="360" w:hanging="360"/>
    </w:pPr>
    <w:rPr>
      <w:sz w:val="17"/>
      <w:szCs w:val="17"/>
    </w:rPr>
  </w:style>
  <w:style w:type="paragraph" w:styleId="EndnoteText">
    <w:name w:val="endnote text"/>
    <w:basedOn w:val="Normal"/>
    <w:semiHidden/>
    <w:rsid w:val="006E0AE6"/>
    <w:pPr>
      <w:widowControl w:val="0"/>
      <w:adjustRightInd w:val="0"/>
      <w:spacing w:line="360" w:lineRule="atLeast"/>
      <w:ind w:firstLine="0"/>
      <w:textAlignment w:val="baseline"/>
    </w:pPr>
    <w:rPr>
      <w:rFonts w:eastAsia="SimSun"/>
      <w:sz w:val="20"/>
    </w:rPr>
  </w:style>
  <w:style w:type="paragraph" w:styleId="TOC1">
    <w:name w:val="toc 1"/>
    <w:basedOn w:val="Normal"/>
    <w:next w:val="Normal"/>
    <w:rsid w:val="00C34FA1"/>
    <w:pPr>
      <w:tabs>
        <w:tab w:val="left" w:pos="1440"/>
        <w:tab w:val="right" w:pos="7920"/>
      </w:tabs>
      <w:suppressAutoHyphens/>
      <w:spacing w:before="120"/>
      <w:ind w:left="1440" w:hanging="1440"/>
      <w:jc w:val="left"/>
    </w:pPr>
    <w:rPr>
      <w:b/>
      <w:bCs/>
      <w:szCs w:val="21"/>
    </w:rPr>
  </w:style>
  <w:style w:type="paragraph" w:styleId="DocumentMap">
    <w:name w:val="Document Map"/>
    <w:basedOn w:val="Normal"/>
    <w:semiHidden/>
    <w:rsid w:val="006E0AE6"/>
    <w:pPr>
      <w:shd w:val="clear" w:color="auto" w:fill="000080"/>
    </w:pPr>
    <w:rPr>
      <w:rFonts w:ascii="Tahoma" w:hAnsi="Tahoma" w:cs="Tahoma"/>
    </w:rPr>
  </w:style>
  <w:style w:type="paragraph" w:customStyle="1" w:styleId="BookTitle1">
    <w:name w:val="Book Title1"/>
    <w:basedOn w:val="Normal"/>
    <w:rsid w:val="00D13733"/>
    <w:pPr>
      <w:widowControl w:val="0"/>
      <w:tabs>
        <w:tab w:val="left" w:pos="1170"/>
        <w:tab w:val="right" w:pos="7920"/>
      </w:tabs>
      <w:autoSpaceDE w:val="0"/>
      <w:autoSpaceDN w:val="0"/>
      <w:adjustRightInd w:val="0"/>
      <w:ind w:firstLine="0"/>
      <w:jc w:val="center"/>
    </w:pPr>
    <w:rPr>
      <w:b/>
      <w:bCs/>
      <w:smallCaps/>
      <w:color w:val="000000"/>
      <w:sz w:val="48"/>
      <w:szCs w:val="48"/>
    </w:rPr>
  </w:style>
  <w:style w:type="paragraph" w:customStyle="1" w:styleId="Figurecentred">
    <w:name w:val="Figure centred"/>
    <w:basedOn w:val="Normal"/>
    <w:next w:val="Normal"/>
    <w:qFormat/>
    <w:rsid w:val="00A138DA"/>
    <w:pPr>
      <w:tabs>
        <w:tab w:val="right" w:pos="7920"/>
      </w:tabs>
      <w:ind w:firstLine="0"/>
      <w:jc w:val="center"/>
    </w:pPr>
  </w:style>
  <w:style w:type="paragraph" w:styleId="TOC2">
    <w:name w:val="toc 2"/>
    <w:basedOn w:val="Normal"/>
    <w:next w:val="Normal"/>
    <w:autoRedefine/>
    <w:rsid w:val="006410BB"/>
    <w:pPr>
      <w:tabs>
        <w:tab w:val="left" w:pos="1440"/>
      </w:tabs>
      <w:suppressAutoHyphens/>
      <w:ind w:left="1440" w:firstLine="0"/>
      <w:jc w:val="left"/>
    </w:pPr>
    <w:rPr>
      <w:i/>
      <w:iCs/>
      <w:szCs w:val="21"/>
    </w:rPr>
  </w:style>
  <w:style w:type="paragraph" w:styleId="NormalWeb">
    <w:name w:val="Normal (Web)"/>
    <w:basedOn w:val="Normal"/>
    <w:uiPriority w:val="99"/>
    <w:unhideWhenUsed/>
    <w:rsid w:val="00A075F9"/>
    <w:pPr>
      <w:spacing w:before="100" w:beforeAutospacing="1" w:after="100" w:afterAutospacing="1" w:line="240" w:lineRule="auto"/>
      <w:ind w:firstLine="0"/>
      <w:jc w:val="left"/>
    </w:pPr>
    <w:rPr>
      <w:sz w:val="24"/>
      <w:szCs w:val="24"/>
      <w:lang w:val="it-IT" w:eastAsia="it-IT"/>
    </w:rPr>
  </w:style>
  <w:style w:type="character" w:customStyle="1" w:styleId="mw-headline">
    <w:name w:val="mw-headline"/>
    <w:basedOn w:val="DefaultParagraphFont"/>
    <w:rsid w:val="00A075F9"/>
  </w:style>
  <w:style w:type="character" w:customStyle="1" w:styleId="klink">
    <w:name w:val="klink"/>
    <w:basedOn w:val="DefaultParagraphFont"/>
    <w:rsid w:val="00A075F9"/>
  </w:style>
  <w:style w:type="character" w:styleId="Strong">
    <w:name w:val="Strong"/>
    <w:uiPriority w:val="22"/>
    <w:rsid w:val="00A075F9"/>
    <w:rPr>
      <w:b/>
      <w:bCs/>
      <w:color w:val="1F477D"/>
    </w:rPr>
  </w:style>
  <w:style w:type="character" w:styleId="Emphasis">
    <w:name w:val="Emphasis"/>
    <w:uiPriority w:val="20"/>
    <w:rsid w:val="00A075F9"/>
    <w:rPr>
      <w:i/>
      <w:iCs/>
    </w:rPr>
  </w:style>
  <w:style w:type="character" w:customStyle="1" w:styleId="printonly">
    <w:name w:val="printonly"/>
    <w:basedOn w:val="DefaultParagraphFont"/>
    <w:rsid w:val="00A075F9"/>
  </w:style>
  <w:style w:type="character" w:customStyle="1" w:styleId="z3988">
    <w:name w:val="z3988"/>
    <w:basedOn w:val="DefaultParagraphFont"/>
    <w:rsid w:val="00A075F9"/>
  </w:style>
  <w:style w:type="character" w:customStyle="1" w:styleId="reference-accessdate">
    <w:name w:val="reference-accessdate"/>
    <w:basedOn w:val="DefaultParagraphFont"/>
    <w:rsid w:val="00A075F9"/>
  </w:style>
  <w:style w:type="paragraph" w:styleId="ListParagraph">
    <w:name w:val="List Paragraph"/>
    <w:basedOn w:val="Normal"/>
    <w:uiPriority w:val="34"/>
    <w:rsid w:val="00A075F9"/>
    <w:pPr>
      <w:spacing w:after="200"/>
      <w:ind w:left="708" w:firstLine="0"/>
      <w:jc w:val="left"/>
    </w:pPr>
    <w:rPr>
      <w:rFonts w:ascii="Calibri" w:eastAsia="Calibri" w:hAnsi="Calibri"/>
      <w:sz w:val="22"/>
      <w:szCs w:val="22"/>
      <w:lang w:val="it-IT"/>
    </w:rPr>
  </w:style>
  <w:style w:type="paragraph" w:styleId="Footer">
    <w:name w:val="footer"/>
    <w:basedOn w:val="Normal"/>
    <w:link w:val="FooterChar"/>
    <w:uiPriority w:val="99"/>
    <w:unhideWhenUsed/>
    <w:qFormat/>
    <w:rsid w:val="00A075F9"/>
    <w:pPr>
      <w:tabs>
        <w:tab w:val="center" w:pos="4819"/>
        <w:tab w:val="right" w:pos="9638"/>
      </w:tabs>
      <w:spacing w:after="200"/>
      <w:ind w:firstLine="0"/>
      <w:jc w:val="left"/>
    </w:pPr>
    <w:rPr>
      <w:rFonts w:ascii="Calibri" w:eastAsia="Calibri" w:hAnsi="Calibri"/>
      <w:sz w:val="22"/>
      <w:szCs w:val="22"/>
      <w:lang w:val="it-IT"/>
    </w:rPr>
  </w:style>
  <w:style w:type="character" w:customStyle="1" w:styleId="FooterChar">
    <w:name w:val="Footer Char"/>
    <w:link w:val="Footer"/>
    <w:uiPriority w:val="99"/>
    <w:rsid w:val="00A075F9"/>
    <w:rPr>
      <w:rFonts w:ascii="Calibri" w:eastAsia="Calibri" w:hAnsi="Calibri"/>
      <w:sz w:val="22"/>
      <w:szCs w:val="22"/>
      <w:lang w:val="it-IT"/>
    </w:rPr>
  </w:style>
  <w:style w:type="paragraph" w:customStyle="1" w:styleId="title1">
    <w:name w:val="title1"/>
    <w:basedOn w:val="Normal"/>
    <w:rsid w:val="00A075F9"/>
    <w:pPr>
      <w:spacing w:line="240" w:lineRule="auto"/>
      <w:ind w:firstLine="0"/>
      <w:jc w:val="left"/>
    </w:pPr>
    <w:rPr>
      <w:sz w:val="29"/>
      <w:szCs w:val="29"/>
      <w:lang w:val="it-IT" w:eastAsia="it-IT"/>
    </w:rPr>
  </w:style>
  <w:style w:type="character" w:customStyle="1" w:styleId="jrnl">
    <w:name w:val="jrnl"/>
    <w:basedOn w:val="DefaultParagraphFont"/>
    <w:rsid w:val="00A075F9"/>
  </w:style>
  <w:style w:type="paragraph" w:styleId="Revision">
    <w:name w:val="Revision"/>
    <w:hidden/>
    <w:uiPriority w:val="99"/>
    <w:semiHidden/>
    <w:rsid w:val="003047B1"/>
    <w:rPr>
      <w:rFonts w:ascii="Century" w:eastAsia="MS Mincho" w:hAnsi="Century"/>
      <w:kern w:val="2"/>
      <w:sz w:val="21"/>
      <w:szCs w:val="24"/>
      <w:lang w:eastAsia="ja-JP"/>
    </w:rPr>
  </w:style>
  <w:style w:type="character" w:customStyle="1" w:styleId="hps">
    <w:name w:val="hps"/>
    <w:basedOn w:val="DefaultParagraphFont"/>
    <w:rsid w:val="00F33611"/>
  </w:style>
  <w:style w:type="character" w:styleId="HTMLCite">
    <w:name w:val="HTML Cite"/>
    <w:rsid w:val="00BD4F99"/>
    <w:rPr>
      <w:i w:val="0"/>
      <w:iCs w:val="0"/>
    </w:rPr>
  </w:style>
  <w:style w:type="table" w:styleId="TableGrid">
    <w:name w:val="Table Grid"/>
    <w:basedOn w:val="TableNormal"/>
    <w:rsid w:val="00BD4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age-text1">
    <w:name w:val="sub-page-text1"/>
    <w:rsid w:val="00BD4F99"/>
    <w:rPr>
      <w:rFonts w:ascii="Arial" w:hAnsi="Arial" w:cs="Arial" w:hint="default"/>
      <w:color w:val="333333"/>
      <w:sz w:val="18"/>
      <w:szCs w:val="18"/>
    </w:rPr>
  </w:style>
  <w:style w:type="character" w:customStyle="1" w:styleId="volume">
    <w:name w:val="volume"/>
    <w:basedOn w:val="DefaultParagraphFont"/>
    <w:rsid w:val="00BD4F99"/>
  </w:style>
  <w:style w:type="paragraph" w:customStyle="1" w:styleId="M-style1">
    <w:name w:val="M-style1"/>
    <w:basedOn w:val="Normal"/>
    <w:rsid w:val="00BD4F99"/>
    <w:pPr>
      <w:spacing w:line="240" w:lineRule="auto"/>
      <w:ind w:firstLine="720"/>
    </w:pPr>
    <w:rPr>
      <w:sz w:val="24"/>
      <w:szCs w:val="24"/>
      <w:lang w:val="hr-HR"/>
    </w:rPr>
  </w:style>
  <w:style w:type="character" w:styleId="FollowedHyperlink">
    <w:name w:val="FollowedHyperlink"/>
    <w:rsid w:val="00BD4F99"/>
    <w:rPr>
      <w:color w:val="800080"/>
      <w:u w:val="single"/>
    </w:rPr>
  </w:style>
  <w:style w:type="paragraph" w:styleId="HTMLPreformatted">
    <w:name w:val="HTML Preformatted"/>
    <w:basedOn w:val="Normal"/>
    <w:link w:val="HTMLPreformattedChar"/>
    <w:rsid w:val="00BD4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rPr>
  </w:style>
  <w:style w:type="character" w:customStyle="1" w:styleId="HTMLPreformattedChar">
    <w:name w:val="HTML Preformatted Char"/>
    <w:link w:val="HTMLPreformatted"/>
    <w:rsid w:val="00BD4F99"/>
    <w:rPr>
      <w:rFonts w:ascii="Courier New" w:hAnsi="Courier New"/>
    </w:rPr>
  </w:style>
  <w:style w:type="paragraph" w:styleId="PlainText">
    <w:name w:val="Plain Text"/>
    <w:basedOn w:val="Normal"/>
    <w:link w:val="PlainTextChar"/>
    <w:uiPriority w:val="99"/>
    <w:unhideWhenUsed/>
    <w:rsid w:val="00BD4F99"/>
    <w:pPr>
      <w:spacing w:line="240" w:lineRule="auto"/>
      <w:ind w:firstLine="0"/>
      <w:jc w:val="left"/>
    </w:pPr>
    <w:rPr>
      <w:rFonts w:ascii="Consolas" w:eastAsia="SimSun" w:hAnsi="Consolas"/>
      <w:color w:val="000000"/>
      <w:szCs w:val="21"/>
    </w:rPr>
  </w:style>
  <w:style w:type="character" w:customStyle="1" w:styleId="PlainTextChar">
    <w:name w:val="Plain Text Char"/>
    <w:link w:val="PlainText"/>
    <w:uiPriority w:val="99"/>
    <w:rsid w:val="00BD4F99"/>
    <w:rPr>
      <w:rFonts w:ascii="Consolas" w:eastAsia="SimSun" w:hAnsi="Consolas"/>
      <w:color w:val="000000"/>
      <w:sz w:val="21"/>
      <w:szCs w:val="21"/>
    </w:rPr>
  </w:style>
  <w:style w:type="character" w:styleId="SubtleReference">
    <w:name w:val="Subtle Reference"/>
    <w:uiPriority w:val="31"/>
    <w:rsid w:val="00BD4F99"/>
    <w:rPr>
      <w:smallCaps/>
      <w:color w:val="C0504D"/>
      <w:u w:val="single"/>
    </w:rPr>
  </w:style>
  <w:style w:type="character" w:styleId="LineNumber">
    <w:name w:val="line number"/>
    <w:uiPriority w:val="99"/>
    <w:semiHidden/>
    <w:unhideWhenUsed/>
    <w:rsid w:val="00BD4F99"/>
  </w:style>
  <w:style w:type="character" w:customStyle="1" w:styleId="value">
    <w:name w:val="value"/>
    <w:basedOn w:val="DefaultParagraphFont"/>
    <w:rsid w:val="00BD4F99"/>
  </w:style>
  <w:style w:type="character" w:customStyle="1" w:styleId="label1">
    <w:name w:val="label1"/>
    <w:basedOn w:val="DefaultParagraphFont"/>
    <w:rsid w:val="00BD4F99"/>
  </w:style>
  <w:style w:type="character" w:customStyle="1" w:styleId="pagination">
    <w:name w:val="pagination"/>
    <w:basedOn w:val="DefaultParagraphFont"/>
    <w:rsid w:val="00BD4F99"/>
  </w:style>
  <w:style w:type="character" w:customStyle="1" w:styleId="toc-link1">
    <w:name w:val="toc-link1"/>
    <w:rsid w:val="00BD4F99"/>
    <w:rPr>
      <w:vanish w:val="0"/>
      <w:webHidden w:val="0"/>
      <w:specVanish w:val="0"/>
    </w:rPr>
  </w:style>
  <w:style w:type="character" w:customStyle="1" w:styleId="slug-vol">
    <w:name w:val="slug-vol"/>
    <w:basedOn w:val="DefaultParagraphFont"/>
    <w:rsid w:val="00BD4F99"/>
  </w:style>
  <w:style w:type="character" w:customStyle="1" w:styleId="slug-issue">
    <w:name w:val="slug-issue"/>
    <w:basedOn w:val="DefaultParagraphFont"/>
    <w:rsid w:val="00BD4F99"/>
  </w:style>
  <w:style w:type="character" w:customStyle="1" w:styleId="slug-doi">
    <w:name w:val="slug-doi"/>
    <w:basedOn w:val="DefaultParagraphFont"/>
    <w:rsid w:val="00BD4F99"/>
  </w:style>
  <w:style w:type="character" w:customStyle="1" w:styleId="name">
    <w:name w:val="name"/>
    <w:basedOn w:val="DefaultParagraphFont"/>
    <w:rsid w:val="00BD4F99"/>
  </w:style>
  <w:style w:type="character" w:customStyle="1" w:styleId="Heading4Char">
    <w:name w:val="Heading 4 Char"/>
    <w:link w:val="Heading4"/>
    <w:uiPriority w:val="9"/>
    <w:rsid w:val="00CD1A60"/>
    <w:rPr>
      <w:rFonts w:ascii="Helvetica" w:hAnsi="Helvetica"/>
      <w:b/>
      <w:i/>
      <w:sz w:val="22"/>
      <w:lang w:val="fr-FR"/>
    </w:rPr>
  </w:style>
  <w:style w:type="character" w:customStyle="1" w:styleId="AbstractChar">
    <w:name w:val="Abstract Char"/>
    <w:link w:val="Abstract"/>
    <w:locked/>
    <w:rsid w:val="00E0341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54161">
      <w:bodyDiv w:val="1"/>
      <w:marLeft w:val="0"/>
      <w:marRight w:val="0"/>
      <w:marTop w:val="0"/>
      <w:marBottom w:val="0"/>
      <w:divBdr>
        <w:top w:val="none" w:sz="0" w:space="0" w:color="auto"/>
        <w:left w:val="none" w:sz="0" w:space="0" w:color="auto"/>
        <w:bottom w:val="none" w:sz="0" w:space="0" w:color="auto"/>
        <w:right w:val="none" w:sz="0" w:space="0" w:color="auto"/>
      </w:divBdr>
      <w:divsChild>
        <w:div w:id="1605991624">
          <w:marLeft w:val="0"/>
          <w:marRight w:val="0"/>
          <w:marTop w:val="0"/>
          <w:marBottom w:val="0"/>
          <w:divBdr>
            <w:top w:val="none" w:sz="0" w:space="0" w:color="auto"/>
            <w:left w:val="none" w:sz="0" w:space="0" w:color="auto"/>
            <w:bottom w:val="none" w:sz="0" w:space="0" w:color="auto"/>
            <w:right w:val="none" w:sz="0" w:space="0" w:color="auto"/>
          </w:divBdr>
          <w:divsChild>
            <w:div w:id="1546023533">
              <w:blockQuote w:val="1"/>
              <w:marLeft w:val="0"/>
              <w:marRight w:val="0"/>
              <w:marTop w:val="0"/>
              <w:marBottom w:val="0"/>
              <w:divBdr>
                <w:top w:val="none" w:sz="0" w:space="0" w:color="auto"/>
                <w:left w:val="none" w:sz="0" w:space="0" w:color="auto"/>
                <w:bottom w:val="none" w:sz="0" w:space="0" w:color="auto"/>
                <w:right w:val="none" w:sz="0" w:space="0" w:color="auto"/>
              </w:divBdr>
              <w:divsChild>
                <w:div w:id="21172381">
                  <w:marLeft w:val="0"/>
                  <w:marRight w:val="0"/>
                  <w:marTop w:val="0"/>
                  <w:marBottom w:val="0"/>
                  <w:divBdr>
                    <w:top w:val="none" w:sz="0" w:space="0" w:color="auto"/>
                    <w:left w:val="none" w:sz="0" w:space="0" w:color="auto"/>
                    <w:bottom w:val="none" w:sz="0" w:space="0" w:color="auto"/>
                    <w:right w:val="none" w:sz="0" w:space="0" w:color="auto"/>
                  </w:divBdr>
                </w:div>
                <w:div w:id="290672585">
                  <w:marLeft w:val="0"/>
                  <w:marRight w:val="0"/>
                  <w:marTop w:val="0"/>
                  <w:marBottom w:val="0"/>
                  <w:divBdr>
                    <w:top w:val="none" w:sz="0" w:space="0" w:color="auto"/>
                    <w:left w:val="none" w:sz="0" w:space="0" w:color="auto"/>
                    <w:bottom w:val="none" w:sz="0" w:space="0" w:color="auto"/>
                    <w:right w:val="none" w:sz="0" w:space="0" w:color="auto"/>
                  </w:divBdr>
                </w:div>
                <w:div w:id="640888504">
                  <w:marLeft w:val="0"/>
                  <w:marRight w:val="0"/>
                  <w:marTop w:val="0"/>
                  <w:marBottom w:val="0"/>
                  <w:divBdr>
                    <w:top w:val="none" w:sz="0" w:space="0" w:color="auto"/>
                    <w:left w:val="none" w:sz="0" w:space="0" w:color="auto"/>
                    <w:bottom w:val="none" w:sz="0" w:space="0" w:color="auto"/>
                    <w:right w:val="none" w:sz="0" w:space="0" w:color="auto"/>
                  </w:divBdr>
                </w:div>
                <w:div w:id="877624236">
                  <w:marLeft w:val="0"/>
                  <w:marRight w:val="0"/>
                  <w:marTop w:val="0"/>
                  <w:marBottom w:val="0"/>
                  <w:divBdr>
                    <w:top w:val="none" w:sz="0" w:space="0" w:color="auto"/>
                    <w:left w:val="none" w:sz="0" w:space="0" w:color="auto"/>
                    <w:bottom w:val="none" w:sz="0" w:space="0" w:color="auto"/>
                    <w:right w:val="none" w:sz="0" w:space="0" w:color="auto"/>
                  </w:divBdr>
                </w:div>
                <w:div w:id="1052080274">
                  <w:marLeft w:val="0"/>
                  <w:marRight w:val="0"/>
                  <w:marTop w:val="0"/>
                  <w:marBottom w:val="0"/>
                  <w:divBdr>
                    <w:top w:val="none" w:sz="0" w:space="0" w:color="auto"/>
                    <w:left w:val="none" w:sz="0" w:space="0" w:color="auto"/>
                    <w:bottom w:val="none" w:sz="0" w:space="0" w:color="auto"/>
                    <w:right w:val="none" w:sz="0" w:space="0" w:color="auto"/>
                  </w:divBdr>
                </w:div>
                <w:div w:id="1150709749">
                  <w:marLeft w:val="0"/>
                  <w:marRight w:val="0"/>
                  <w:marTop w:val="0"/>
                  <w:marBottom w:val="0"/>
                  <w:divBdr>
                    <w:top w:val="none" w:sz="0" w:space="0" w:color="auto"/>
                    <w:left w:val="none" w:sz="0" w:space="0" w:color="auto"/>
                    <w:bottom w:val="none" w:sz="0" w:space="0" w:color="auto"/>
                    <w:right w:val="none" w:sz="0" w:space="0" w:color="auto"/>
                  </w:divBdr>
                </w:div>
                <w:div w:id="1474712738">
                  <w:marLeft w:val="0"/>
                  <w:marRight w:val="0"/>
                  <w:marTop w:val="0"/>
                  <w:marBottom w:val="0"/>
                  <w:divBdr>
                    <w:top w:val="none" w:sz="0" w:space="0" w:color="auto"/>
                    <w:left w:val="none" w:sz="0" w:space="0" w:color="auto"/>
                    <w:bottom w:val="none" w:sz="0" w:space="0" w:color="auto"/>
                    <w:right w:val="none" w:sz="0" w:space="0" w:color="auto"/>
                  </w:divBdr>
                </w:div>
                <w:div w:id="1528256526">
                  <w:marLeft w:val="0"/>
                  <w:marRight w:val="0"/>
                  <w:marTop w:val="0"/>
                  <w:marBottom w:val="0"/>
                  <w:divBdr>
                    <w:top w:val="none" w:sz="0" w:space="0" w:color="auto"/>
                    <w:left w:val="none" w:sz="0" w:space="0" w:color="auto"/>
                    <w:bottom w:val="none" w:sz="0" w:space="0" w:color="auto"/>
                    <w:right w:val="none" w:sz="0" w:space="0" w:color="auto"/>
                  </w:divBdr>
                </w:div>
                <w:div w:id="16165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99916">
      <w:bodyDiv w:val="1"/>
      <w:marLeft w:val="0"/>
      <w:marRight w:val="0"/>
      <w:marTop w:val="0"/>
      <w:marBottom w:val="0"/>
      <w:divBdr>
        <w:top w:val="none" w:sz="0" w:space="0" w:color="auto"/>
        <w:left w:val="none" w:sz="0" w:space="0" w:color="auto"/>
        <w:bottom w:val="none" w:sz="0" w:space="0" w:color="auto"/>
        <w:right w:val="none" w:sz="0" w:space="0" w:color="auto"/>
      </w:divBdr>
    </w:div>
    <w:div w:id="1313635429">
      <w:bodyDiv w:val="1"/>
      <w:marLeft w:val="0"/>
      <w:marRight w:val="0"/>
      <w:marTop w:val="0"/>
      <w:marBottom w:val="0"/>
      <w:divBdr>
        <w:top w:val="none" w:sz="0" w:space="0" w:color="auto"/>
        <w:left w:val="none" w:sz="0" w:space="0" w:color="auto"/>
        <w:bottom w:val="none" w:sz="0" w:space="0" w:color="auto"/>
        <w:right w:val="none" w:sz="0" w:space="0" w:color="auto"/>
      </w:divBdr>
    </w:div>
    <w:div w:id="161228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5CC3C-84F8-48C3-B796-0F69F557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4437</Words>
  <Characters>26270</Characters>
  <Application>Microsoft Office Word</Application>
  <DocSecurity>0</DocSecurity>
  <Lines>597</Lines>
  <Paragraphs>116</Paragraphs>
  <ScaleCrop>false</ScaleCrop>
  <HeadingPairs>
    <vt:vector size="2" baseType="variant">
      <vt:variant>
        <vt:lpstr>Title</vt:lpstr>
      </vt:variant>
      <vt:variant>
        <vt:i4>1</vt:i4>
      </vt:variant>
    </vt:vector>
  </HeadingPairs>
  <TitlesOfParts>
    <vt:vector size="1" baseType="lpstr">
      <vt:lpstr>Chapter 1</vt:lpstr>
    </vt:vector>
  </TitlesOfParts>
  <Company>Nova Science Publishers, Inc.</Company>
  <LinksUpToDate>false</LinksUpToDate>
  <CharactersWithSpaces>30591</CharactersWithSpaces>
  <SharedDoc>false</SharedDoc>
  <HLinks>
    <vt:vector size="48" baseType="variant">
      <vt:variant>
        <vt:i4>3538989</vt:i4>
      </vt:variant>
      <vt:variant>
        <vt:i4>21</vt:i4>
      </vt:variant>
      <vt:variant>
        <vt:i4>0</vt:i4>
      </vt:variant>
      <vt:variant>
        <vt:i4>5</vt:i4>
      </vt:variant>
      <vt:variant>
        <vt:lpwstr>http://www.springerlink.com/content/1355-008x/</vt:lpwstr>
      </vt:variant>
      <vt:variant>
        <vt:lpwstr/>
      </vt:variant>
      <vt:variant>
        <vt:i4>4456524</vt:i4>
      </vt:variant>
      <vt:variant>
        <vt:i4>18</vt:i4>
      </vt:variant>
      <vt:variant>
        <vt:i4>0</vt:i4>
      </vt:variant>
      <vt:variant>
        <vt:i4>5</vt:i4>
      </vt:variant>
      <vt:variant>
        <vt:lpwstr>http://www.springerlink.com/content/?Author=Leslie+Myatt</vt:lpwstr>
      </vt:variant>
      <vt:variant>
        <vt:lpwstr/>
      </vt:variant>
      <vt:variant>
        <vt:i4>7077959</vt:i4>
      </vt:variant>
      <vt:variant>
        <vt:i4>15</vt:i4>
      </vt:variant>
      <vt:variant>
        <vt:i4>0</vt:i4>
      </vt:variant>
      <vt:variant>
        <vt:i4>5</vt:i4>
      </vt:variant>
      <vt:variant>
        <vt:lpwstr>javascript:AL_get(this, 'jour', 'Biol Reprod.');</vt:lpwstr>
      </vt:variant>
      <vt:variant>
        <vt:lpwstr/>
      </vt:variant>
      <vt:variant>
        <vt:i4>6553701</vt:i4>
      </vt:variant>
      <vt:variant>
        <vt:i4>12</vt:i4>
      </vt:variant>
      <vt:variant>
        <vt:i4>0</vt:i4>
      </vt:variant>
      <vt:variant>
        <vt:i4>5</vt:i4>
      </vt:variant>
      <vt:variant>
        <vt:lpwstr>http://www.ncbi.nlm.nih.gov/pubmed?term=%22Vi%C4%87ovac%20L%22%5BAuthor%5D</vt:lpwstr>
      </vt:variant>
      <vt:variant>
        <vt:lpwstr/>
      </vt:variant>
      <vt:variant>
        <vt:i4>1835084</vt:i4>
      </vt:variant>
      <vt:variant>
        <vt:i4>9</vt:i4>
      </vt:variant>
      <vt:variant>
        <vt:i4>0</vt:i4>
      </vt:variant>
      <vt:variant>
        <vt:i4>5</vt:i4>
      </vt:variant>
      <vt:variant>
        <vt:lpwstr>http://www.ncbi.nlm.nih.gov/pubmed?term=%22Church%20HJ%22%5BAuthor%5D</vt:lpwstr>
      </vt:variant>
      <vt:variant>
        <vt:lpwstr/>
      </vt:variant>
      <vt:variant>
        <vt:i4>393283</vt:i4>
      </vt:variant>
      <vt:variant>
        <vt:i4>6</vt:i4>
      </vt:variant>
      <vt:variant>
        <vt:i4>0</vt:i4>
      </vt:variant>
      <vt:variant>
        <vt:i4>5</vt:i4>
      </vt:variant>
      <vt:variant>
        <vt:lpwstr>http://www.ncbi.nlm.nih.gov/pubmed?term=%22Jones%20CJ%22%5BAuthor%5D</vt:lpwstr>
      </vt:variant>
      <vt:variant>
        <vt:lpwstr/>
      </vt:variant>
      <vt:variant>
        <vt:i4>3735671</vt:i4>
      </vt:variant>
      <vt:variant>
        <vt:i4>3</vt:i4>
      </vt:variant>
      <vt:variant>
        <vt:i4>0</vt:i4>
      </vt:variant>
      <vt:variant>
        <vt:i4>5</vt:i4>
      </vt:variant>
      <vt:variant>
        <vt:lpwstr>http://www.ncbi.nlm.nih.gov/pubmed?term=%22Haigh%20T%22%5BAuthor%5D</vt:lpwstr>
      </vt:variant>
      <vt:variant>
        <vt:lpwstr/>
      </vt:variant>
      <vt:variant>
        <vt:i4>1769566</vt:i4>
      </vt:variant>
      <vt:variant>
        <vt:i4>0</vt:i4>
      </vt:variant>
      <vt:variant>
        <vt:i4>0</vt:i4>
      </vt:variant>
      <vt:variant>
        <vt:i4>5</vt:i4>
      </vt:variant>
      <vt:variant>
        <vt:lpwstr>http://www.ncbi.nlm.nih.gov/pubmed?term=%22Aplin%20JD%22%5BAuthor%5D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Frank Columbus</dc:creator>
  <cp:keywords/>
  <cp:lastModifiedBy>user</cp:lastModifiedBy>
  <cp:revision>7</cp:revision>
  <cp:lastPrinted>2007-10-12T16:40:00Z</cp:lastPrinted>
  <dcterms:created xsi:type="dcterms:W3CDTF">2021-05-14T14:36:00Z</dcterms:created>
  <dcterms:modified xsi:type="dcterms:W3CDTF">2021-05-14T15:39:00Z</dcterms:modified>
</cp:coreProperties>
</file>